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57729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b/>
          <w:color w:val="FF0000"/>
          <w:spacing w:val="-45"/>
          <w:sz w:val="86"/>
          <w:szCs w:val="86"/>
        </w:rPr>
      </w:pPr>
      <w:bookmarkStart w:id="0" w:name="_GoBack"/>
      <w:bookmarkEnd w:id="0"/>
      <w:r>
        <w:rPr>
          <w:rFonts w:hint="eastAsia"/>
          <w:b/>
          <w:color w:val="FF0000"/>
          <w:spacing w:val="-45"/>
          <w:sz w:val="86"/>
          <w:szCs w:val="86"/>
        </w:rPr>
        <w:t>威海市建筑业协会文件</w:t>
      </w:r>
    </w:p>
    <w:p w14:paraId="72F8EA8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仿宋_GB2312" w:eastAsia="仿宋_GB2312"/>
          <w:sz w:val="32"/>
          <w:szCs w:val="32"/>
        </w:rPr>
      </w:pPr>
    </w:p>
    <w:p w14:paraId="36E6DEA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="仿宋_GB2312" w:eastAsia="仿宋_GB2312"/>
          <w:b/>
          <w:color w:val="FF0000"/>
          <w:spacing w:val="40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威建协字</w:t>
      </w:r>
      <w:r>
        <w:rPr>
          <w:rFonts w:hint="eastAsia" w:ascii="仿宋_GB2312" w:hAnsi="宋体" w:eastAsia="仿宋_GB2312" w:cs="宋体"/>
          <w:sz w:val="32"/>
          <w:szCs w:val="32"/>
        </w:rPr>
        <w:t>〔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2025</w:t>
      </w:r>
      <w:r>
        <w:rPr>
          <w:rFonts w:hint="eastAsia" w:ascii="仿宋_GB2312" w:hAnsi="宋体" w:eastAsia="仿宋_GB2312" w:cs="宋体"/>
          <w:sz w:val="32"/>
          <w:szCs w:val="32"/>
        </w:rPr>
        <w:t>〕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号</w:t>
      </w:r>
    </w:p>
    <w:p w14:paraId="32B6EAC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 w:eastAsia="宋体"/>
          <w:b/>
          <w:bCs/>
          <w:color w:val="FF0000"/>
          <w:sz w:val="44"/>
          <w:szCs w:val="44"/>
          <w:u w:val="thick"/>
        </w:rPr>
      </w:pPr>
      <w:r>
        <w:rPr>
          <w:rFonts w:hint="eastAsia" w:ascii="宋体" w:hAnsi="宋体" w:eastAsia="宋体"/>
          <w:b/>
          <w:bCs/>
          <w:color w:val="FF0000"/>
          <w:sz w:val="44"/>
          <w:szCs w:val="44"/>
          <w:u w:val="thick"/>
        </w:rPr>
        <w:t xml:space="preserve">                                          </w:t>
      </w:r>
    </w:p>
    <w:p w14:paraId="1323536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="宋体" w:hAnsi="宋体" w:eastAsia="宋体"/>
          <w:bCs/>
          <w:sz w:val="44"/>
          <w:szCs w:val="44"/>
        </w:rPr>
      </w:pPr>
    </w:p>
    <w:p w14:paraId="2BC863A5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威海市建筑业协会关于</w:t>
      </w:r>
    </w:p>
    <w:p w14:paraId="7FCB471B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评选</w:t>
      </w:r>
      <w:r>
        <w:rPr>
          <w:rFonts w:hint="eastAsia"/>
          <w:sz w:val="44"/>
          <w:szCs w:val="44"/>
          <w:lang w:val="en-US" w:eastAsia="zh-CN"/>
        </w:rPr>
        <w:t>202</w:t>
      </w:r>
      <w:r>
        <w:rPr>
          <w:rFonts w:hint="default"/>
          <w:sz w:val="44"/>
          <w:szCs w:val="44"/>
          <w:lang w:val="en-US" w:eastAsia="zh-CN"/>
        </w:rPr>
        <w:t>4</w:t>
      </w:r>
      <w:r>
        <w:rPr>
          <w:rFonts w:hint="eastAsia"/>
          <w:sz w:val="44"/>
          <w:szCs w:val="44"/>
        </w:rPr>
        <w:t>年度</w:t>
      </w:r>
      <w:r>
        <w:rPr>
          <w:rFonts w:hint="eastAsia"/>
          <w:sz w:val="44"/>
          <w:szCs w:val="44"/>
          <w:lang w:val="en-US" w:eastAsia="zh-CN"/>
        </w:rPr>
        <w:t>会员企业</w:t>
      </w:r>
      <w:r>
        <w:rPr>
          <w:rFonts w:hint="eastAsia"/>
          <w:sz w:val="44"/>
          <w:szCs w:val="44"/>
        </w:rPr>
        <w:t>建筑业先进单位</w:t>
      </w:r>
      <w:r>
        <w:rPr>
          <w:rFonts w:hint="default"/>
          <w:sz w:val="44"/>
          <w:szCs w:val="44"/>
          <w:lang w:val="en-US"/>
        </w:rPr>
        <w:t>暨优秀会员企业</w:t>
      </w:r>
      <w:r>
        <w:rPr>
          <w:rFonts w:hint="eastAsia"/>
          <w:sz w:val="44"/>
          <w:szCs w:val="44"/>
        </w:rPr>
        <w:t>的通知</w:t>
      </w:r>
    </w:p>
    <w:p w14:paraId="140D6024">
      <w:pPr>
        <w:rPr>
          <w:sz w:val="44"/>
          <w:szCs w:val="44"/>
        </w:rPr>
      </w:pPr>
    </w:p>
    <w:p w14:paraId="79714A42">
      <w:pPr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各会员单位：</w:t>
      </w:r>
    </w:p>
    <w:p w14:paraId="50FF851F">
      <w:pPr>
        <w:ind w:firstLine="645"/>
        <w:rPr>
          <w:rFonts w:ascii="仿宋_GB2312" w:hAnsi="仿宋" w:eastAsia="仿宋_GB2312"/>
          <w:color w:val="333333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为了推动我市建筑业的健康发展，</w:t>
      </w:r>
      <w:r>
        <w:rPr>
          <w:rFonts w:hint="eastAsia" w:ascii="仿宋_GB2312" w:hAnsi="仿宋" w:eastAsia="仿宋_GB2312"/>
          <w:color w:val="333333"/>
          <w:sz w:val="32"/>
          <w:szCs w:val="32"/>
        </w:rPr>
        <w:t>走高质量发展的道路，</w:t>
      </w:r>
      <w:r>
        <w:rPr>
          <w:rFonts w:hint="eastAsia" w:ascii="仿宋_GB2312" w:hAnsi="仿宋" w:eastAsia="仿宋_GB2312"/>
          <w:sz w:val="32"/>
          <w:szCs w:val="32"/>
        </w:rPr>
        <w:t>进一步提高建筑业的管理水平，促进建筑业的诚信建设，树立楷模，鼓励先进，激励企业创优和树名牌意识，促进工程质量和安全生产上台阶，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威海市建筑业协会决定在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协会会员单位内（建筑业行业內）</w:t>
      </w:r>
      <w:r>
        <w:rPr>
          <w:rFonts w:hint="eastAsia" w:ascii="仿宋_GB2312" w:hAnsi="仿宋" w:eastAsia="仿宋_GB2312"/>
          <w:sz w:val="32"/>
          <w:szCs w:val="32"/>
        </w:rPr>
        <w:t>评选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sz w:val="32"/>
          <w:szCs w:val="32"/>
        </w:rPr>
        <w:t>年度</w:t>
      </w:r>
      <w:r>
        <w:rPr>
          <w:rFonts w:hint="default" w:ascii="仿宋_GB2312" w:hAnsi="仿宋" w:eastAsia="仿宋_GB2312"/>
          <w:sz w:val="32"/>
          <w:szCs w:val="32"/>
          <w:lang w:val="en-US"/>
        </w:rPr>
        <w:t>会员企业</w:t>
      </w:r>
      <w:r>
        <w:rPr>
          <w:rFonts w:hint="eastAsia" w:ascii="仿宋_GB2312" w:hAnsi="仿宋" w:eastAsia="仿宋_GB2312"/>
          <w:sz w:val="32"/>
          <w:szCs w:val="32"/>
        </w:rPr>
        <w:t>建筑业先进单位</w:t>
      </w:r>
      <w:r>
        <w:rPr>
          <w:rFonts w:hint="default" w:ascii="仿宋_GB2312" w:hAnsi="仿宋" w:eastAsia="仿宋_GB2312"/>
          <w:sz w:val="32"/>
          <w:szCs w:val="32"/>
          <w:lang w:val="en-US"/>
        </w:rPr>
        <w:t>暨优秀会员企业</w:t>
      </w:r>
      <w:r>
        <w:rPr>
          <w:rFonts w:hint="eastAsia" w:ascii="仿宋_GB2312" w:hAnsi="仿宋" w:eastAsia="仿宋_GB2312"/>
          <w:sz w:val="32"/>
          <w:szCs w:val="32"/>
        </w:rPr>
        <w:t>，现将有关事项通知如下：</w:t>
      </w:r>
    </w:p>
    <w:p w14:paraId="74CA5AE8">
      <w:pPr>
        <w:pStyle w:val="28"/>
        <w:numPr>
          <w:ilvl w:val="0"/>
          <w:numId w:val="1"/>
        </w:numPr>
        <w:ind w:firstLineChars="0"/>
        <w:rPr>
          <w:rFonts w:ascii="黑体" w:hAnsi="黑体" w:eastAsia="黑体"/>
          <w:color w:val="333333"/>
          <w:sz w:val="32"/>
          <w:szCs w:val="32"/>
        </w:rPr>
      </w:pPr>
      <w:r>
        <w:rPr>
          <w:rFonts w:hint="eastAsia" w:ascii="黑体" w:hAnsi="黑体" w:eastAsia="黑体"/>
          <w:color w:val="333333"/>
          <w:sz w:val="32"/>
          <w:szCs w:val="32"/>
        </w:rPr>
        <w:t>评选依据</w:t>
      </w:r>
    </w:p>
    <w:p w14:paraId="3731A075">
      <w:pPr>
        <w:ind w:left="645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威海市</w:t>
      </w:r>
      <w:r>
        <w:rPr>
          <w:rFonts w:hint="default" w:ascii="仿宋_GB2312" w:hAnsi="仿宋" w:eastAsia="仿宋_GB2312"/>
          <w:sz w:val="32"/>
          <w:szCs w:val="32"/>
          <w:lang w:val="en-US"/>
        </w:rPr>
        <w:t>会员企业建筑业先进单位暨优秀会员企业评选</w:t>
      </w:r>
      <w:r>
        <w:rPr>
          <w:rFonts w:hint="eastAsia" w:ascii="仿宋_GB2312" w:hAnsi="仿宋" w:eastAsia="仿宋_GB2312"/>
          <w:sz w:val="32"/>
          <w:szCs w:val="32"/>
        </w:rPr>
        <w:t>依据：威海市建筑业协会制定的威海市</w:t>
      </w:r>
    </w:p>
    <w:p w14:paraId="4D2CC343">
      <w:pPr>
        <w:rPr>
          <w:rFonts w:hint="eastAsia" w:ascii="仿宋_GB2312" w:hAnsi="仿宋" w:eastAsia="仿宋_GB2312"/>
          <w:sz w:val="32"/>
          <w:szCs w:val="32"/>
        </w:rPr>
      </w:pPr>
    </w:p>
    <w:p w14:paraId="FF4357BA">
      <w:pPr>
        <w:rPr>
          <w:rFonts w:hint="eastAsia" w:ascii="仿宋_GB2312" w:hAnsi="仿宋" w:eastAsia="仿宋_GB2312"/>
          <w:sz w:val="32"/>
          <w:szCs w:val="32"/>
        </w:rPr>
      </w:pPr>
    </w:p>
    <w:p w14:paraId="34CB2E6E">
      <w:pPr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建筑业先进单位评选办法（附件）及威海市建筑业行业自律公约。</w:t>
      </w:r>
    </w:p>
    <w:p w14:paraId="604DF81B">
      <w:pPr>
        <w:pStyle w:val="28"/>
        <w:numPr>
          <w:ilvl w:val="0"/>
          <w:numId w:val="1"/>
        </w:numPr>
        <w:ind w:firstLineChars="0"/>
        <w:rPr>
          <w:rFonts w:ascii="黑体" w:hAnsi="黑体" w:eastAsia="黑体"/>
          <w:color w:val="333333"/>
          <w:sz w:val="32"/>
          <w:szCs w:val="32"/>
        </w:rPr>
      </w:pPr>
      <w:r>
        <w:rPr>
          <w:rFonts w:hint="eastAsia" w:ascii="黑体" w:hAnsi="黑体" w:eastAsia="黑体"/>
          <w:color w:val="333333"/>
          <w:sz w:val="32"/>
          <w:szCs w:val="32"/>
        </w:rPr>
        <w:t>评选程序</w:t>
      </w:r>
    </w:p>
    <w:p w14:paraId="50530134">
      <w:pPr>
        <w:ind w:left="645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1．由企业按照文件规定自愿申报。</w:t>
      </w:r>
    </w:p>
    <w:p w14:paraId="58F7169C">
      <w:pPr>
        <w:ind w:left="645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2．威海市建筑行业协会收验申报资料，并按规定组织</w:t>
      </w:r>
    </w:p>
    <w:p w14:paraId="5AC4F1BD">
      <w:pPr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有关专家进行初审，然后提交评审委员会评审；</w:t>
      </w:r>
    </w:p>
    <w:p w14:paraId="0322DBD5">
      <w:pPr>
        <w:ind w:left="645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3．根据评审委员会审定的结果，按照评选名额由高到</w:t>
      </w:r>
    </w:p>
    <w:p w14:paraId="6108B819">
      <w:pPr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低确定拟评定企业，并经公示后确定评选结果进行表彰。</w:t>
      </w:r>
    </w:p>
    <w:p w14:paraId="745C58B3">
      <w:pPr>
        <w:pStyle w:val="28"/>
        <w:ind w:left="645" w:firstLine="0" w:firstLineChars="0"/>
        <w:rPr>
          <w:rFonts w:ascii="黑体" w:hAnsi="黑体" w:eastAsia="黑体"/>
          <w:color w:val="333333"/>
          <w:sz w:val="32"/>
          <w:szCs w:val="32"/>
        </w:rPr>
      </w:pPr>
      <w:r>
        <w:rPr>
          <w:rFonts w:hint="eastAsia" w:ascii="黑体" w:hAnsi="黑体" w:eastAsia="黑体"/>
          <w:color w:val="333333"/>
          <w:sz w:val="32"/>
          <w:szCs w:val="32"/>
        </w:rPr>
        <w:t>三、其他要求</w:t>
      </w:r>
    </w:p>
    <w:p w14:paraId="378FDE31">
      <w:pPr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申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报</w:t>
      </w:r>
      <w:r>
        <w:rPr>
          <w:rFonts w:hint="eastAsia" w:ascii="仿宋_GB2312" w:hAnsi="仿宋" w:eastAsia="仿宋_GB2312"/>
          <w:sz w:val="32"/>
          <w:szCs w:val="32"/>
        </w:rPr>
        <w:t>单位必须是本协会会员。凡申报企业应填写先进单位申报表（需打印），其他附属材料按附件评选办法提供，并用A4纸装订成册（采用左侧胶装方式，装订应牢固，不受理活页、塑料拉杆装订。）所有申报材料务必于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月</w:t>
      </w:r>
      <w:r>
        <w:rPr>
          <w:rFonts w:hint="default" w:ascii="仿宋_GB2312" w:hAnsi="仿宋" w:eastAsia="仿宋_GB2312"/>
          <w:sz w:val="32"/>
          <w:szCs w:val="32"/>
          <w:lang w:val="en-US"/>
        </w:rPr>
        <w:t>28</w:t>
      </w:r>
      <w:r>
        <w:rPr>
          <w:rFonts w:hint="eastAsia" w:ascii="仿宋_GB2312" w:hAnsi="仿宋" w:eastAsia="仿宋_GB2312"/>
          <w:sz w:val="32"/>
          <w:szCs w:val="32"/>
        </w:rPr>
        <w:t>日前报市建筑行业协会，逾期不报视为自动放弃评先资格。企业参与工程获奖的需提供获奖证明。分公司的企业按集团或总公司参评。</w:t>
      </w:r>
    </w:p>
    <w:p w14:paraId="0590670A">
      <w:pPr>
        <w:pStyle w:val="10"/>
        <w:spacing w:before="0" w:beforeAutospacing="0" w:after="0" w:afterAutospacing="0"/>
        <w:ind w:firstLine="640"/>
        <w:rPr>
          <w:rFonts w:ascii="仿宋_GB2312" w:eastAsia="仿宋_GB2312"/>
          <w:color w:val="333333"/>
          <w:sz w:val="18"/>
          <w:szCs w:val="18"/>
        </w:rPr>
      </w:pPr>
    </w:p>
    <w:p w14:paraId="27A4AC42">
      <w:pPr>
        <w:pStyle w:val="10"/>
        <w:spacing w:before="0" w:beforeAutospacing="0" w:after="0" w:afterAutospacing="0"/>
        <w:ind w:firstLine="640" w:firstLineChars="200"/>
        <w:rPr>
          <w:rFonts w:ascii="仿宋_GB2312" w:hAnsi="仿宋" w:eastAsia="仿宋_GB2312" w:cs="宋体"/>
          <w:kern w:val="2"/>
          <w:sz w:val="32"/>
          <w:szCs w:val="32"/>
        </w:rPr>
      </w:pPr>
      <w:r>
        <w:rPr>
          <w:rFonts w:hint="eastAsia" w:ascii="仿宋_GB2312" w:hAnsi="仿宋" w:eastAsia="仿宋_GB2312" w:cs="宋体"/>
          <w:kern w:val="2"/>
          <w:sz w:val="32"/>
          <w:szCs w:val="32"/>
        </w:rPr>
        <w:t>联系电话：0631-5286979</w:t>
      </w:r>
    </w:p>
    <w:p w14:paraId="13615890">
      <w:pPr>
        <w:pStyle w:val="10"/>
        <w:spacing w:before="0" w:beforeAutospacing="0" w:after="0" w:afterAutospacing="0"/>
        <w:ind w:firstLine="640" w:firstLineChars="200"/>
        <w:rPr>
          <w:rFonts w:ascii="仿宋_GB2312" w:hAnsi="仿宋" w:eastAsia="仿宋_GB2312" w:cs="宋体"/>
          <w:kern w:val="2"/>
          <w:sz w:val="32"/>
          <w:szCs w:val="32"/>
        </w:rPr>
      </w:pPr>
      <w:r>
        <w:rPr>
          <w:rFonts w:hint="eastAsia" w:ascii="仿宋_GB2312" w:hAnsi="仿宋" w:eastAsia="仿宋_GB2312" w:cs="宋体"/>
          <w:kern w:val="2"/>
          <w:sz w:val="32"/>
          <w:szCs w:val="32"/>
        </w:rPr>
        <w:t>地    址：威海市海滨南路9号富成大厦5楼</w:t>
      </w:r>
    </w:p>
    <w:p w14:paraId="45690865">
      <w:pPr>
        <w:pStyle w:val="10"/>
        <w:spacing w:before="0" w:beforeAutospacing="0" w:after="0" w:afterAutospacing="0"/>
        <w:rPr>
          <w:rFonts w:ascii="仿宋_GB2312" w:hAnsi="仿宋" w:eastAsia="仿宋_GB2312" w:cs="宋体"/>
          <w:kern w:val="2"/>
          <w:sz w:val="32"/>
          <w:szCs w:val="32"/>
        </w:rPr>
      </w:pPr>
      <w:r>
        <w:rPr>
          <w:rFonts w:hint="eastAsia" w:ascii="仿宋_GB2312" w:hAnsi="仿宋" w:eastAsia="仿宋_GB2312" w:cs="宋体"/>
          <w:kern w:val="2"/>
          <w:sz w:val="32"/>
          <w:szCs w:val="32"/>
        </w:rPr>
        <w:t>                           </w:t>
      </w:r>
    </w:p>
    <w:p w14:paraId="0AEC8D9F">
      <w:pPr>
        <w:pStyle w:val="10"/>
        <w:spacing w:before="0" w:beforeAutospacing="0" w:after="0" w:afterAutospacing="0"/>
        <w:ind w:firstLine="640"/>
        <w:jc w:val="right"/>
        <w:rPr>
          <w:rFonts w:ascii="仿宋_GB2312" w:hAnsi="仿宋" w:eastAsia="仿宋_GB2312" w:cs="宋体"/>
          <w:kern w:val="2"/>
          <w:sz w:val="32"/>
          <w:szCs w:val="32"/>
        </w:rPr>
      </w:pPr>
      <w:r>
        <w:rPr>
          <w:rFonts w:hint="eastAsia" w:ascii="仿宋_GB2312" w:hAnsi="仿宋" w:eastAsia="仿宋_GB2312" w:cs="宋体"/>
          <w:kern w:val="2"/>
          <w:sz w:val="32"/>
          <w:szCs w:val="32"/>
          <w:lang w:val="en-US" w:eastAsia="zh-CN"/>
        </w:rPr>
        <w:t>2025</w:t>
      </w:r>
      <w:r>
        <w:rPr>
          <w:rFonts w:hint="eastAsia" w:ascii="仿宋_GB2312" w:hAnsi="仿宋" w:eastAsia="仿宋_GB2312" w:cs="宋体"/>
          <w:kern w:val="2"/>
          <w:sz w:val="32"/>
          <w:szCs w:val="32"/>
        </w:rPr>
        <w:t>年</w:t>
      </w:r>
      <w:r>
        <w:rPr>
          <w:rFonts w:hint="eastAsia" w:ascii="仿宋_GB2312" w:hAnsi="仿宋" w:eastAsia="仿宋_GB2312" w:cs="宋体"/>
          <w:kern w:val="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 w:cs="宋体"/>
          <w:kern w:val="2"/>
          <w:sz w:val="32"/>
          <w:szCs w:val="32"/>
        </w:rPr>
        <w:t>月</w:t>
      </w:r>
      <w:r>
        <w:rPr>
          <w:rFonts w:hint="eastAsia" w:ascii="仿宋_GB2312" w:hAnsi="仿宋" w:eastAsia="仿宋_GB2312" w:cs="宋体"/>
          <w:kern w:val="2"/>
          <w:sz w:val="32"/>
          <w:szCs w:val="32"/>
          <w:lang w:val="en-US" w:eastAsia="zh-CN"/>
        </w:rPr>
        <w:t>9</w:t>
      </w:r>
      <w:r>
        <w:rPr>
          <w:rFonts w:hint="eastAsia" w:ascii="仿宋_GB2312" w:hAnsi="仿宋" w:eastAsia="仿宋_GB2312" w:cs="宋体"/>
          <w:kern w:val="2"/>
          <w:sz w:val="32"/>
          <w:szCs w:val="32"/>
        </w:rPr>
        <w:t>日</w:t>
      </w:r>
    </w:p>
    <w:p w14:paraId="1A7D9664">
      <w:pPr>
        <w:pStyle w:val="10"/>
        <w:spacing w:before="0" w:beforeAutospacing="0" w:after="0" w:afterAutospacing="0"/>
        <w:ind w:right="160" w:firstLine="640"/>
        <w:jc w:val="right"/>
        <w:rPr>
          <w:rFonts w:ascii="仿宋_GB2312" w:eastAsia="仿宋_GB2312"/>
          <w:color w:val="333333"/>
          <w:sz w:val="18"/>
          <w:szCs w:val="18"/>
        </w:rPr>
      </w:pPr>
    </w:p>
    <w:p w14:paraId="4A0D982A">
      <w:pPr>
        <w:ind w:left="645"/>
        <w:rPr>
          <w:rFonts w:hint="eastAsia" w:ascii="仿宋_GB2312" w:hAnsi="仿宋" w:eastAsia="仿宋_GB2312"/>
          <w:sz w:val="32"/>
          <w:szCs w:val="32"/>
        </w:rPr>
      </w:pPr>
    </w:p>
    <w:p w14:paraId="6CD9E5D8">
      <w:pPr>
        <w:ind w:left="645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附件1.威海市建筑业先进企业评选办法(试行)</w:t>
      </w:r>
      <w:r>
        <w:rPr>
          <w:rFonts w:hint="default" w:ascii="仿宋_GB2312" w:hAnsi="仿宋" w:eastAsia="仿宋_GB2312"/>
          <w:sz w:val="32"/>
          <w:szCs w:val="32"/>
          <w:lang w:val="en-US"/>
        </w:rPr>
        <w:t>、威海市建筑业行业自律公约</w:t>
      </w:r>
    </w:p>
    <w:p w14:paraId="016D4C5B">
      <w:pPr>
        <w:ind w:left="645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     2.威海市建筑业先进单位申报表</w:t>
      </w:r>
    </w:p>
    <w:p w14:paraId="6CFB85A0">
      <w:pPr>
        <w:ind w:left="645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     3.承诺书</w:t>
      </w:r>
    </w:p>
    <w:p w14:paraId="142B0475">
      <w:pPr>
        <w:rPr>
          <w:rFonts w:ascii="仿宋_GB2312" w:eastAsia="仿宋_GB2312"/>
        </w:rPr>
      </w:pPr>
    </w:p>
    <w:p w14:paraId="785C38E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="仿宋_GB2312" w:hAnsi="仿宋" w:eastAsia="仿宋_GB2312" w:cs="仿宋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大标宋简体">
    <w:altName w:val="宋体"/>
    <w:panose1 w:val="020106010300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0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EB7872">
    <w:pPr>
      <w:pStyle w:val="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2</w:t>
    </w:r>
    <w:r>
      <w:rPr>
        <w:lang w:val="zh-CN"/>
      </w:rPr>
      <w:fldChar w:fldCharType="end"/>
    </w:r>
  </w:p>
  <w:p w14:paraId="60C2C024">
    <w:pPr>
      <w:pStyle w:val="8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0"/>
    <w:multiLevelType w:val="multilevel"/>
    <w:tmpl w:val="00000000"/>
    <w:lvl w:ilvl="0" w:tentative="0">
      <w:start w:val="1"/>
      <w:numFmt w:val="japaneseCounting"/>
      <w:lvlText w:val="%1、"/>
      <w:lvlJc w:val="left"/>
      <w:pPr>
        <w:ind w:left="1365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5" w:hanging="420"/>
      </w:pPr>
    </w:lvl>
    <w:lvl w:ilvl="2" w:tentative="0">
      <w:start w:val="1"/>
      <w:numFmt w:val="lowerRoman"/>
      <w:lvlText w:val="%3."/>
      <w:lvlJc w:val="right"/>
      <w:pPr>
        <w:ind w:left="1905" w:hanging="420"/>
      </w:pPr>
    </w:lvl>
    <w:lvl w:ilvl="3" w:tentative="0">
      <w:start w:val="1"/>
      <w:numFmt w:val="decimal"/>
      <w:lvlText w:val="%4."/>
      <w:lvlJc w:val="left"/>
      <w:pPr>
        <w:ind w:left="2325" w:hanging="420"/>
      </w:pPr>
    </w:lvl>
    <w:lvl w:ilvl="4" w:tentative="0">
      <w:start w:val="1"/>
      <w:numFmt w:val="lowerLetter"/>
      <w:lvlText w:val="%5)"/>
      <w:lvlJc w:val="left"/>
      <w:pPr>
        <w:ind w:left="2745" w:hanging="420"/>
      </w:pPr>
    </w:lvl>
    <w:lvl w:ilvl="5" w:tentative="0">
      <w:start w:val="1"/>
      <w:numFmt w:val="lowerRoman"/>
      <w:lvlText w:val="%6."/>
      <w:lvlJc w:val="right"/>
      <w:pPr>
        <w:ind w:left="3165" w:hanging="420"/>
      </w:pPr>
    </w:lvl>
    <w:lvl w:ilvl="6" w:tentative="0">
      <w:start w:val="1"/>
      <w:numFmt w:val="decimal"/>
      <w:lvlText w:val="%7."/>
      <w:lvlJc w:val="left"/>
      <w:pPr>
        <w:ind w:left="3585" w:hanging="420"/>
      </w:pPr>
    </w:lvl>
    <w:lvl w:ilvl="7" w:tentative="0">
      <w:start w:val="1"/>
      <w:numFmt w:val="lowerLetter"/>
      <w:lvlText w:val="%8)"/>
      <w:lvlJc w:val="left"/>
      <w:pPr>
        <w:ind w:left="4005" w:hanging="420"/>
      </w:pPr>
    </w:lvl>
    <w:lvl w:ilvl="8" w:tentative="0">
      <w:start w:val="1"/>
      <w:numFmt w:val="lowerRoman"/>
      <w:lvlText w:val="%9."/>
      <w:lvlJc w:val="right"/>
      <w:pPr>
        <w:ind w:left="442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C5429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paragraph" w:styleId="4">
    <w:name w:val="heading 2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/>
    </w:rPr>
  </w:style>
  <w:style w:type="character" w:default="1" w:styleId="12">
    <w:name w:val="Default Paragraph Font"/>
    <w:qFormat/>
    <w:uiPriority w:val="1"/>
  </w:style>
  <w:style w:type="table" w:default="1" w:styleId="11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keepNext w:val="0"/>
      <w:keepLines w:val="0"/>
      <w:widowControl w:val="0"/>
      <w:suppressLineNumbers w:val="0"/>
      <w:spacing w:before="0" w:beforeAutospacing="0" w:after="120" w:afterAutospacing="0"/>
      <w:ind w:left="0" w:right="0" w:firstLine="420" w:firstLineChars="100"/>
      <w:jc w:val="both"/>
    </w:pPr>
    <w:rPr>
      <w:rFonts w:hint="default" w:ascii="Times New Roman" w:hAnsi="Times New Roman" w:eastAsia="宋体" w:cs="Times New Roman"/>
      <w:kern w:val="2"/>
      <w:sz w:val="21"/>
      <w:szCs w:val="24"/>
      <w:lang w:val="en-US" w:eastAsia="zh-CN"/>
    </w:rPr>
  </w:style>
  <w:style w:type="paragraph" w:styleId="3">
    <w:name w:val="Body Text"/>
    <w:basedOn w:val="1"/>
    <w:qFormat/>
    <w:uiPriority w:val="0"/>
    <w:rPr>
      <w:rFonts w:eastAsia="方正大标宋简体"/>
      <w:w w:val="50"/>
      <w:sz w:val="144"/>
    </w:rPr>
  </w:style>
  <w:style w:type="paragraph" w:styleId="5">
    <w:name w:val="Body Text Indent"/>
    <w:basedOn w:val="1"/>
    <w:link w:val="26"/>
    <w:qFormat/>
    <w:uiPriority w:val="0"/>
    <w:pPr>
      <w:ind w:firstLine="540" w:firstLineChars="257"/>
    </w:pPr>
    <w:rPr>
      <w:kern w:val="0"/>
      <w:sz w:val="20"/>
      <w:szCs w:val="24"/>
    </w:rPr>
  </w:style>
  <w:style w:type="paragraph" w:styleId="6">
    <w:name w:val="Date"/>
    <w:basedOn w:val="1"/>
    <w:next w:val="1"/>
    <w:link w:val="25"/>
    <w:qFormat/>
    <w:uiPriority w:val="0"/>
    <w:pPr>
      <w:ind w:left="100" w:leftChars="2500"/>
    </w:pPr>
  </w:style>
  <w:style w:type="paragraph" w:styleId="7">
    <w:name w:val="Balloon Text"/>
    <w:basedOn w:val="1"/>
    <w:link w:val="27"/>
    <w:qFormat/>
    <w:uiPriority w:val="0"/>
    <w:rPr>
      <w:sz w:val="18"/>
      <w:szCs w:val="18"/>
    </w:rPr>
  </w:style>
  <w:style w:type="paragraph" w:styleId="8">
    <w:name w:val="footer"/>
    <w:basedOn w:val="1"/>
    <w:link w:val="24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23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13">
    <w:name w:val="page number"/>
    <w:basedOn w:val="12"/>
    <w:qFormat/>
    <w:uiPriority w:val="99"/>
    <w:rPr>
      <w:rFonts w:eastAsia="宋体" w:cs="宋体"/>
      <w:szCs w:val="22"/>
      <w:lang w:eastAsia="zh-CN"/>
    </w:rPr>
  </w:style>
  <w:style w:type="character" w:styleId="14">
    <w:name w:val="FollowedHyperlink"/>
    <w:basedOn w:val="12"/>
    <w:qFormat/>
    <w:uiPriority w:val="0"/>
    <w:rPr>
      <w:color w:val="666666"/>
      <w:u w:val="none"/>
    </w:rPr>
  </w:style>
  <w:style w:type="character" w:styleId="15">
    <w:name w:val="Emphasis"/>
    <w:basedOn w:val="12"/>
    <w:qFormat/>
    <w:uiPriority w:val="0"/>
  </w:style>
  <w:style w:type="character" w:styleId="16">
    <w:name w:val="HTML Definition"/>
    <w:basedOn w:val="12"/>
    <w:qFormat/>
    <w:uiPriority w:val="0"/>
  </w:style>
  <w:style w:type="character" w:styleId="17">
    <w:name w:val="HTML Variable"/>
    <w:basedOn w:val="12"/>
    <w:qFormat/>
    <w:uiPriority w:val="0"/>
  </w:style>
  <w:style w:type="character" w:styleId="18">
    <w:name w:val="Hyperlink"/>
    <w:basedOn w:val="12"/>
    <w:qFormat/>
    <w:uiPriority w:val="0"/>
    <w:rPr>
      <w:color w:val="666666"/>
      <w:u w:val="none"/>
    </w:rPr>
  </w:style>
  <w:style w:type="character" w:styleId="19">
    <w:name w:val="HTML Code"/>
    <w:basedOn w:val="12"/>
    <w:qFormat/>
    <w:uiPriority w:val="0"/>
    <w:rPr>
      <w:rFonts w:hint="default" w:ascii="Courier New" w:hAnsi="Courier New" w:eastAsia="Courier New" w:cs="Courier New"/>
      <w:sz w:val="20"/>
    </w:rPr>
  </w:style>
  <w:style w:type="character" w:styleId="20">
    <w:name w:val="HTML Cite"/>
    <w:basedOn w:val="12"/>
    <w:qFormat/>
    <w:uiPriority w:val="0"/>
  </w:style>
  <w:style w:type="character" w:styleId="21">
    <w:name w:val="HTML Keyboard"/>
    <w:basedOn w:val="12"/>
    <w:qFormat/>
    <w:uiPriority w:val="0"/>
    <w:rPr>
      <w:rFonts w:hint="default" w:ascii="Courier New" w:hAnsi="Courier New" w:eastAsia="Courier New" w:cs="Courier New"/>
      <w:sz w:val="20"/>
    </w:rPr>
  </w:style>
  <w:style w:type="character" w:styleId="22">
    <w:name w:val="HTML Sample"/>
    <w:basedOn w:val="12"/>
    <w:qFormat/>
    <w:uiPriority w:val="0"/>
    <w:rPr>
      <w:rFonts w:ascii="Courier New" w:hAnsi="Courier New" w:eastAsia="Courier New" w:cs="Courier New"/>
    </w:rPr>
  </w:style>
  <w:style w:type="character" w:customStyle="1" w:styleId="23">
    <w:name w:val="页眉 Char"/>
    <w:basedOn w:val="12"/>
    <w:link w:val="9"/>
    <w:qFormat/>
    <w:uiPriority w:val="99"/>
    <w:rPr>
      <w:rFonts w:ascii="Calibri" w:hAnsi="Calibri" w:eastAsia="宋体" w:cs="宋体"/>
      <w:kern w:val="2"/>
      <w:sz w:val="18"/>
      <w:szCs w:val="18"/>
    </w:rPr>
  </w:style>
  <w:style w:type="character" w:customStyle="1" w:styleId="24">
    <w:name w:val="页脚 Char"/>
    <w:basedOn w:val="12"/>
    <w:link w:val="8"/>
    <w:qFormat/>
    <w:uiPriority w:val="99"/>
    <w:rPr>
      <w:rFonts w:ascii="Calibri" w:hAnsi="Calibri" w:eastAsia="宋体" w:cs="宋体"/>
      <w:kern w:val="2"/>
      <w:sz w:val="18"/>
      <w:szCs w:val="18"/>
    </w:rPr>
  </w:style>
  <w:style w:type="character" w:customStyle="1" w:styleId="25">
    <w:name w:val="日期 Char"/>
    <w:basedOn w:val="12"/>
    <w:link w:val="6"/>
    <w:qFormat/>
    <w:uiPriority w:val="0"/>
    <w:rPr>
      <w:rFonts w:ascii="Calibri" w:hAnsi="Calibri" w:eastAsia="宋体" w:cs="宋体"/>
      <w:kern w:val="2"/>
      <w:sz w:val="21"/>
      <w:szCs w:val="22"/>
    </w:rPr>
  </w:style>
  <w:style w:type="character" w:customStyle="1" w:styleId="26">
    <w:name w:val="正文文本缩进 Char"/>
    <w:basedOn w:val="12"/>
    <w:link w:val="5"/>
    <w:qFormat/>
    <w:uiPriority w:val="0"/>
    <w:rPr>
      <w:rFonts w:ascii="Calibri" w:hAnsi="Calibri" w:eastAsia="宋体" w:cs="宋体"/>
      <w:szCs w:val="24"/>
    </w:rPr>
  </w:style>
  <w:style w:type="character" w:customStyle="1" w:styleId="27">
    <w:name w:val="批注框文本 Char"/>
    <w:basedOn w:val="12"/>
    <w:link w:val="7"/>
    <w:qFormat/>
    <w:uiPriority w:val="0"/>
    <w:rPr>
      <w:rFonts w:ascii="Calibri" w:hAnsi="Calibri" w:eastAsia="宋体" w:cs="宋体"/>
      <w:kern w:val="2"/>
      <w:sz w:val="18"/>
      <w:szCs w:val="18"/>
    </w:rPr>
  </w:style>
  <w:style w:type="paragraph" w:customStyle="1" w:styleId="28">
    <w:name w:val="列出段落1"/>
    <w:basedOn w:val="1"/>
    <w:qFormat/>
    <w:uiPriority w:val="34"/>
    <w:pPr>
      <w:ind w:firstLine="420" w:firstLineChars="200"/>
    </w:pPr>
    <w:rPr>
      <w:szCs w:val="24"/>
    </w:rPr>
  </w:style>
  <w:style w:type="paragraph" w:customStyle="1" w:styleId="29">
    <w:name w:val="List Paragraph_19fccdbd-7c1e-47c6-907b-a1a28a7b6d13"/>
    <w:basedOn w:val="1"/>
    <w:qFormat/>
    <w:uiPriority w:val="99"/>
    <w:pPr>
      <w:ind w:firstLine="420" w:firstLineChars="200"/>
    </w:pPr>
    <w:rPr>
      <w:szCs w:val="24"/>
    </w:rPr>
  </w:style>
  <w:style w:type="paragraph" w:customStyle="1" w:styleId="30">
    <w:name w:val="_Style 26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31">
    <w:name w:val="_Style 27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32">
    <w:name w:val="_Style 28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33">
    <w:name w:val="_Style 29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646</Words>
  <Characters>677</Characters>
  <Paragraphs>38</Paragraphs>
  <TotalTime>20</TotalTime>
  <ScaleCrop>false</ScaleCrop>
  <LinksUpToDate>false</LinksUpToDate>
  <CharactersWithSpaces>760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2020-01-08T01:41:00Z</dcterms:created>
  <dc:creator>Dell</dc:creator>
  <cp:lastModifiedBy>艾迪儿</cp:lastModifiedBy>
  <dcterms:modified xsi:type="dcterms:W3CDTF">2025-01-13T02:20:32Z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C7F033E62FBA425F847F0CA6BD192F98_13</vt:lpwstr>
  </property>
  <property fmtid="{D5CDD505-2E9C-101B-9397-08002B2CF9AE}" pid="4" name="KSOTemplateDocerSaveRecord">
    <vt:lpwstr>eyJoZGlkIjoiODg1NjE0NDgxYjk4MmJhZTAwNDRiZjliZmM2ZTU0YzYiLCJ1c2VySWQiOiI0MzI3NzE1NDIifQ==</vt:lpwstr>
  </property>
</Properties>
</file>