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 w:rsidP="0002651a">
      <w:pPr>
        <w:pStyle w:val="Normal"/>
        <w:jc w:val="center"/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textAlignment w:val="baseline"/>
        <w:sectPr>
          <w:footerReference w:type="even" r:id="rId3"/>
          <w:footerReference w:type="default" r:id="rId4"/>
          <w:type w:val="nextPage"/>
          <w:pgSz w:h="16838" w:w="11906" w:orient="portrait"/>
          <w:pgMar w:gutter="0" w:header="851" w:top="1304" w:bottom="1134" w:footer="992" w:left="1474" w:right="1474"/>
          <w:paperSrc w:first="0" w:other="0"/>
          <w:lnNumType w:countBy="0"/>
          <w:cols w:space="425" w:num="1"/>
          <w:vAlign w:val="top"/>
          <w:docGrid w:charSpace="0" w:linePitch="312" w:type="lines"/>
        </w:sectPr>
      </w:pPr>
      <w:r w:rsidR="0002651a"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eastAsia="宋体"/>
          <w:caps w:val="0"/>
        </w:rPr>
        <w:t xml:space="preserve">建设工程法律业务交流课题大纲</w:t>
      </w:r>
    </w:p>
    <w:p w:rsidP="0002651a">
      <w:pPr>
        <w:pStyle w:val="Normal"/>
        <w:jc w:val="center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02651a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与工程有关的法律法规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司法解释，规范性文件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三通一平、七通一平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临时用地、临建设施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开工典礼与开工日期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开工日期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竣工日期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施工组织设计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施工方案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施工进度计划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工程图纸审查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图纸会审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第一次工地会议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工地例会纪要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工作联系单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工程签证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工程索赔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工程洽商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补充协议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施工日志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监理日志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施工资料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监理资料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质量监管资料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电子数据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</w:t>
      </w: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视听资料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以房抵债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以物抵债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设计变更、工程变更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合同外工程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工程分包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</w:t>
      </w: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转包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工程挂靠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材料</w:t>
      </w: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设备</w:t>
      </w: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供应、采购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甲供材料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固定总价合同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固定单价合同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可调价合同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成本加酬金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材料涨价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情势变更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工程预付款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工程进度款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工程结算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工程垫资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项目融资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企业现金流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商业承兑汇票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银行承兑汇票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合同工期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工程质量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安全管理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合同主体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工程范围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合同内容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合同的履行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合同效力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违约责任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损失赔偿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减损义务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意思表示一致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权利放弃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利息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案件管辖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工程纠纷审判现状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背靠背条款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停工、窝工损失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人工、机械闲置损失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</w:t>
      </w: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质量</w:t>
      </w: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鉴定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工程造价鉴定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工期鉴定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工程质量原因鉴定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工程修复方案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维修费用鉴定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工期延误原因鉴定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延误造成损失鉴定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现场勘验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工程总承包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施工总承包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联合体投标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联合承包人责任承担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企业资质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个人承包工程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内部承包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交叉施工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项目经理权限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职务代理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表见代理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项目部合同签订权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项目部公章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签字、盖章的法律意义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项目部对外公示资料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工程质量报监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安全报监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机械设备备案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挂靠人的代理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分包人的代理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农民工工资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农民工工资专用账户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超付追偿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劳务分包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专业分包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指定分包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专业人士注意义务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工程侵权责任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优先权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抵押权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工伤保险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安全责任险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意外伤害险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雇主责任险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预付款担保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工程款支付担保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履约担保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投标担保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规划许可证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施工许可证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预售许可证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竣工验收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竣工验收备案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综合验收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工程合格的认定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人工费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材料费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机械使用费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管理费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利润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税金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计日工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暂估价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暂定价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暂列金额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措施项目费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规费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总承包服务费、配合费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劳务费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安全文明施工费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人防工程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水、电费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下浮率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质量保证金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缺陷责任期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合同组成文件的效力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合作开发方的付款义务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开发票</w:t>
      </w: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与工程款支付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工期延误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擅自使用工程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工程保修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建设期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运营期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合同解除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实际施工人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合同相对性突破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代位权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资料作为证据管理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工程纠纷诉讼与仲裁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工程审计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工程审价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标准合同文件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建设工程合同</w:t>
      </w: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范本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通用条款的法律地位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专用条款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定额计价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清单计价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工程量风险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工程单价风险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赶工费用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工程利润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半拉子、烂尾工程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甩项工程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工程纠纷边界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自认、确认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违章建筑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司法拍卖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不可抗力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不利地质条件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异常气候条件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政府行为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法律法规变化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426492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环保政策影响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工程常见法律责任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招标文件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投标文件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招标控制价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投标价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中标价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合同价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工程造价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不平衡报价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串通投标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实质性影响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低于成本价中标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招标图纸与施工图纸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800737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工程折价拍卖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工程实施常见纠纷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f00b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企业合规管理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197d9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非诉程序解决纠纷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专业律师与普通律师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工程项目专项法律服务</w:t>
      </w:r>
    </w:p>
    <w:p w:rsidP="004e344b">
      <w:pPr>
        <w:pStyle w:val="Normal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 w:val="0"/>
        <w:ind w:left="0" w:firstLine="0"/>
        <w:textAlignment w:val="baseline"/>
      </w:pPr>
      <w:r w:rsidR="00f13a6f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全过程法律服务</w:t>
      </w:r>
    </w:p>
    <w:sectPr>
      <w:type w:val="continuous"/>
      <w:pgSz w:h="16838" w:w="11906" w:orient="portrait"/>
      <w:pgMar w:gutter="0" w:header="851" w:top="1304" w:bottom="1134" w:footer="992" w:left="1474" w:right="1474"/>
      <w:paperSrc w:first="0" w:other="0"/>
      <w:lnNumType w:countBy="0"/>
      <w:cols w:space="425" w:num="3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20007a87" w:usb1="80000000" w:usb2="00000008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080e0000" w:usb2="00000010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314a40">
    <w:pPr>
      <w:pStyle w:val="Footer"/>
      <w:rPr>
        <w:rStyle w:val="PageNumb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314a40">
    <w:pPr>
      <w:pStyle w:val="Footer"/>
      <w:rPr>
        <w:rStyle w:val="PageNumb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  <w:r w:rsidR="0002651a">
      <w:rPr>
        <w:rStyle w:val="PageNumber"/>
        <w:noProof/>
        <w:szCs w:val="18"/>
        <w:sz w:val="18"/>
        <w:kern w:val="2"/>
        <w:lang w:bidi="ar-SA"/>
        <w:rFonts w:eastAsia="宋体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0e3217a"/>
    <w:multiLevelType w:val="multilevel"/>
    <w:tmpl w:val="c2084f72"/>
    <w:lvl w:ilvl="0">
      <w:start w:val="1"/>
      <w:numFmt w:val="decimal"/>
      <w:suff w:val="tab"/>
      <w:lvlText w:val="%1."/>
      <w:lvlJc w:val="left"/>
      <w:pPr>
        <w:pStyle w:val="Normal"/>
        <w:widowControl/>
        <w:ind w:hanging="420" w:left="4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abstractNum w:abstractNumId="1">
    <w:nsid w:val="3e6e5057"/>
    <w:multiLevelType w:val="hybridMultilevel"/>
    <w:tmpl w:val="c2084f72"/>
    <w:lvl w:ilvl="0">
      <w:start w:val="1"/>
      <w:numFmt w:val="decimal"/>
      <w:suff w:val="tab"/>
      <w:lvlText w:val="%1."/>
      <w:lvlJc w:val="left"/>
      <w:pPr>
        <w:pStyle w:val="Normal"/>
        <w:widowControl/>
        <w:ind w:hanging="420" w:left="4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abstractNum w:abstractNumId="2">
    <w:nsid w:val="5f5764e3"/>
    <w:multiLevelType w:val="multilevel"/>
    <w:tmpl w:val="c2084f72"/>
    <w:lvl w:ilvl="0">
      <w:start w:val="1"/>
      <w:numFmt w:val="decimal"/>
      <w:suff w:val="tab"/>
      <w:lvlText w:val="%1."/>
      <w:lvlJc w:val="left"/>
      <w:pPr>
        <w:pStyle w:val="Normal"/>
        <w:widowControl/>
        <w:ind w:hanging="420" w:left="4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>
    <w:rsid w:val="0002651a"/>
    <w:rsid w:val="00314a40"/>
    <w:rsid w:val="004e344b"/>
    <w:rsid w:val="00f13a6f"/>
    <w:rsid w:val="00426492"/>
    <w:rsid w:val="00ff00b1"/>
    <w:rsid w:val="00800737"/>
    <w:rsid w:val="00197d9f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eastAsia="宋体"/>
    </w:rPr>
  </w:style>
  <w:style w:type="character" w:styleId="PageNumber">
    <w:name w:val="PageNumber"/>
    <w:basedOn w:val="NormalCharacter"/>
    <w:next w:val="PageNumber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02651a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sectPr>
          <w:footerReference w:type="even" r:id="rId3"/>
          <w:footerReference w:type="default" r:id="rId4"/>
          <w:vAlign w:val="top"/>
          <w:type w:val="nextPage"/>
          <w:pgSz w:h="16838" w:w="11906" w:orient="portrait"/>
          <w:pgMar w:gutter="0" w:header="851" w:top="1304" w:bottom="1134" w:footer="992" w:left="1474" w:right="1474"/>
          <w:lnNumType w:countBy="0"/>
          <w:paperSrc w:first="0" w:other="0"/>
          <w:cols w:space="425" w:num="1"/>
          <w:docGrid w:charSpace="0" w:linePitch="312" w:type="lines"/>
        </w:sectPr>
        <w:spacing w:line="420" w:lineRule="exact"/>
        <w:jc w:val="center"/>
        <w:textAlignment w:val="baseline"/>
      </w:pPr>
      <w:r w:rsidR="0002651a">
        <w:rPr>
          <w:rStyle w:val="NormalCharacter"/>
          <w:b/>
          <w:szCs w:val="28"/>
          <w:sz w:val="28"/>
          <w:kern w:val="2"/>
          <w:lang w:val="en-US" w:eastAsia="zh-CN" w:bidi="ar-SA"/>
          <w:rFonts w:eastAsia="宋体"/>
        </w:rPr>
        <w:t xml:space="preserve">交流课题大纲</w:t>
      </w:r>
    </w:p>
    <w:p w:rsidP="0002651a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center"/>
        <w:textAlignment w:val="baseline"/>
        <w:numPr>
          <w:ilvl w:val="0"/>
          <w:numId w:val="1"/>
        </w:numPr>
      </w:pPr>
      <w:r w:rsidR="0002651a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与工程有关的法律法规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司法解释，规范性文件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三通一平、七通一平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临时用地、临建设施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开工典礼与开工日期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开工日期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竣工日期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施工组织设计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施工方案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施工进度计划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工程图纸审查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图纸会审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第一次工地会议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工地例会纪要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工作联系单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工程签证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工程索赔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工程洽商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补充协议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施工日志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监理日志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施工资料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监理资料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质量监管资料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电子数据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</w:t>
      </w: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视听资料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以房抵债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以物抵债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设计变更、工程变更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合同外工程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工程分包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</w:t>
      </w: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转包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工程挂靠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材料</w:t>
      </w: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设备</w:t>
      </w: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供应、采购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甲供材料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固定总价合同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固定单价合同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可调价合同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成本加酬金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材料涨价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情势变更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工程预付款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工程进度款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工程结算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工程垫资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项目融资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企业现金流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商业承兑汇票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银行承兑汇票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合同工期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工程质量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安全管理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合同主体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工程范围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合同内容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合同的履行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合同效力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违约责任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损失赔偿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减损义务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意思表示一致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权利放弃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利息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案件管辖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工程纠纷审判现状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背靠背条款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停工、窝工损失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人工、机械闲置损失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</w:t>
      </w: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质量</w:t>
      </w: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鉴定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工程造价鉴定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工期鉴定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工程质量原因鉴定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工程修复方案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维修费用鉴定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工期延误原因鉴定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延误造成损失鉴定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现场勘验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工程总承包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施工总承包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联合体投标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联合承包人责任承担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企业资质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个人承包工程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内部承包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交叉施工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项目经理权限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职务代理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表见代理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项目部合同签订权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项目部公章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签字、盖章的法律意义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项目部对外公示资料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工程质量报监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安全报监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机械设备备案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挂靠人的代理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分包人的代理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农民工工资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农民工工资专用账户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超付追偿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劳务分包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专业分包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指定分包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专业人士注意义务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工程侵权责任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优先权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抵押权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工伤保险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安全责任险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意外伤害险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雇主责任险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预付款担保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工程款支付担保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履约担保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投标担保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规划许可证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施工许可证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预售许可证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竣工验收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竣工验收备案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综合验收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工程合格的认定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人工费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材料费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机械使用费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管理费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利润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税金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计日工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暂估价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暂定价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暂列金额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措施项目费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规费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总承包服务费、配合费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劳务费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安全文明施工费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人防工程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水、电费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下浮率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质量保证金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缺陷责任期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合同组成文件的效力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合作开发方的付款义务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开发票</w:t>
      </w: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与工程款支付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工期延误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擅自使用工程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工程保修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建设期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运营期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合同解除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实际施工人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合同相对性突破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代位权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资料作为证据管理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工程纠纷诉讼与仲裁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工程审计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工程审价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标准合同文件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建设工程合同</w:t>
      </w: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范本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通用条款的法律地位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专用条款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定额计价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清单计价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工程量风险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工程单价风险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赶工费用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工程利润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半拉子、烂尾工程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甩项工程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工程纠纷边界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自认、确认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违章建筑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司法拍卖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不可抗力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不利地质条件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异常气候条件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政府行为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法律法规变化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426492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环保政策影响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工程常见法律责任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招标文件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投标文件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招标控制价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投标价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中标价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合同价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工程造价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不平衡报价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串通投标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实质性影响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低于成本价中标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招标图纸与施工图纸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800737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工程折价拍卖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工程实施常见纠纷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f00b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企业合规管理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197d9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非诉程序解决纠纷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专业律师与普通律师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工程项目专项法律服务</w:t>
      </w:r>
    </w:p>
    <w:p w:rsidP="004e344b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napToGrid w:val="0"/>
        <w:ind w:firstLine="0" w:left="0"/>
        <w:spacing w:line="420" w:lineRule="exact"/>
        <w:jc w:val="both"/>
        <w:textAlignment w:val="baseline"/>
        <w:numPr>
          <w:ilvl w:val="0"/>
          <w:numId w:val="1"/>
        </w:numPr>
      </w:pPr>
      <w:r w:rsidR="00f13a6f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全过程法律服务</w:t>
      </w:r>
    </w:p>
    <w:sectPr>
      <w:vAlign w:val="top"/>
      <w:type w:val="continuous"/>
      <w:pgSz w:h="16838" w:w="11906" w:orient="portrait"/>
      <w:pgMar w:gutter="0" w:header="851" w:top="1304" w:bottom="1134" w:footer="992" w:left="1474" w:right="1474"/>
      <w:lnNumType w:countBy="0"/>
      <w:paperSrc w:first="0" w:other="0"/>
      <w:cols w:space="425" w:num="3"/>
      <w:docGrid w:charSpace="0" w:linePitch="312" w:type="lines"/>
    </w:sectPr>
  </w:body>
</w:document>
</file>

<file path=treport/opRecord.xml>
</file>