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distribute"/>
        <w:rPr>
          <w:rFonts w:ascii="方正小标宋简体" w:hAnsi="宋体" w:eastAsia="方正小标宋简体" w:cs="Times New Roman"/>
          <w:color w:val="FF0000"/>
          <w:w w:val="65"/>
          <w:sz w:val="96"/>
          <w:szCs w:val="96"/>
        </w:rPr>
      </w:pPr>
      <w:r>
        <w:rPr>
          <w:rFonts w:hint="eastAsia" w:ascii="方正小标宋简体" w:hAnsi="宋体" w:eastAsia="方正小标宋简体" w:cs="Times New Roman"/>
          <w:color w:val="FF0000"/>
          <w:w w:val="65"/>
          <w:sz w:val="96"/>
          <w:szCs w:val="96"/>
        </w:rPr>
        <w:t>中建政研信息咨询中心</w:t>
      </w:r>
    </w:p>
    <w:p>
      <w:pPr>
        <w:ind w:right="600"/>
        <w:jc w:val="center"/>
        <w:rPr>
          <w:rFonts w:ascii="仿宋_GB2312" w:hAnsi="Calibri" w:eastAsia="仿宋_GB2312" w:cs="宋体"/>
          <w:color w:val="000000"/>
          <w:sz w:val="30"/>
          <w:szCs w:val="30"/>
        </w:rPr>
      </w:pPr>
      <w:r>
        <w:rPr>
          <w:rFonts w:hint="eastAsia" w:ascii="仿宋_GB2312" w:hAnsi="Calibri" w:eastAsia="仿宋_GB2312" w:cs="宋体"/>
          <w:color w:val="000000"/>
          <w:sz w:val="30"/>
          <w:szCs w:val="30"/>
        </w:rPr>
        <w:t>建研〔20</w:t>
      </w:r>
      <w:r>
        <w:rPr>
          <w:rFonts w:ascii="仿宋_GB2312" w:hAnsi="Calibri" w:eastAsia="仿宋_GB2312" w:cs="宋体"/>
          <w:color w:val="000000"/>
          <w:sz w:val="30"/>
          <w:szCs w:val="30"/>
        </w:rPr>
        <w:t>20</w:t>
      </w:r>
      <w:r>
        <w:rPr>
          <w:rFonts w:hint="eastAsia" w:ascii="仿宋_GB2312" w:hAnsi="Calibri" w:eastAsia="仿宋_GB2312" w:cs="宋体"/>
          <w:color w:val="000000"/>
          <w:sz w:val="30"/>
          <w:szCs w:val="30"/>
        </w:rPr>
        <w:t>〕</w:t>
      </w:r>
      <w:r>
        <w:rPr>
          <w:rFonts w:hint="eastAsia" w:ascii="仿宋_GB2312" w:hAnsi="Calibri" w:eastAsia="仿宋_GB2312" w:cs="宋体"/>
          <w:color w:val="000000"/>
          <w:sz w:val="30"/>
          <w:szCs w:val="30"/>
          <w:lang w:val="en-US" w:eastAsia="zh-CN"/>
        </w:rPr>
        <w:t>93</w:t>
      </w:r>
      <w:r>
        <w:rPr>
          <w:rFonts w:hint="eastAsia" w:ascii="仿宋_GB2312" w:hAnsi="Calibri" w:eastAsia="仿宋_GB2312" w:cs="宋体"/>
          <w:color w:val="000000"/>
          <w:sz w:val="30"/>
          <w:szCs w:val="30"/>
        </w:rPr>
        <w:t>号</w:t>
      </w:r>
    </w:p>
    <w:p>
      <w:pPr>
        <w:ind w:right="600"/>
        <w:rPr>
          <w:rFonts w:ascii="仿宋_GB2312" w:eastAsia="仿宋_GB2312" w:cs="仿宋_GB2312"/>
          <w:sz w:val="30"/>
          <w:szCs w:val="30"/>
        </w:rPr>
      </w:pPr>
      <w:bookmarkStart w:id="1" w:name="_GoBack"/>
      <w:r>
        <w:rPr>
          <w:rFonts w:ascii="Times New Roman" w:hAnsi="Times New Roman" w:eastAsia="宋体" w:cs="Times New Roman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-197485</wp:posOffset>
                </wp:positionH>
                <wp:positionV relativeFrom="paragraph">
                  <wp:posOffset>83820</wp:posOffset>
                </wp:positionV>
                <wp:extent cx="6145530" cy="0"/>
                <wp:effectExtent l="0" t="9525" r="7620" b="9525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553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15.55pt;margin-top:6.6pt;height:0pt;width:483.9pt;z-index:251659264;mso-width-relative:page;mso-height-relative:page;" filled="f" stroked="t" coordsize="21600,21600" o:gfxdata="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kJHI/YAAAACQEAAA8AAAAAAAAAAQAgAAAAIgAAAGRycy9kb3du&#10;cmV2LnhtbFBLAQIUABQAAAAIAIdO4kAoHL6gxgEAAIIDAAAOAAAAAAAAAAEAIAAAACcBAABkcnMv&#10;ZTJvRG9jLnhtbFBLBQYAAAAABgAGAFkBAABfBQAAAAA=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bookmarkEnd w:id="1"/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关于举办“建设工程施工现场如何控价”</w:t>
      </w:r>
      <w:r>
        <w:rPr>
          <w:rFonts w:hint="eastAsia" w:ascii="方正小标宋简体" w:hAnsi="方正小标宋简体" w:eastAsia="方正小标宋简体" w:cs="方正小标宋简体"/>
          <w:b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培训班</w:t>
      </w:r>
      <w:r>
        <w:rPr>
          <w:rFonts w:hint="eastAsia" w:ascii="方正小标宋简体" w:hAnsi="方正小标宋简体" w:eastAsia="方正小标宋简体" w:cs="方正小标宋简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的通知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tabs>
          <w:tab w:val="left" w:pos="709"/>
        </w:tabs>
        <w:spacing w:line="420" w:lineRule="exact"/>
        <w:jc w:val="left"/>
        <w:rPr>
          <w:rFonts w:ascii="仿宋_GB2312" w:hAnsi="仿宋" w:eastAsia="仿宋_GB2312" w:cs="Times New Roman"/>
          <w:b/>
          <w:spacing w:val="8"/>
          <w:sz w:val="30"/>
          <w:szCs w:val="30"/>
          <w:shd w:val="clear" w:color="auto" w:fill="FFFFFF"/>
        </w:rPr>
      </w:pPr>
      <w:r>
        <w:rPr>
          <w:rFonts w:hint="eastAsia" w:ascii="仿宋_GB2312" w:hAnsi="仿宋" w:eastAsia="仿宋_GB2312" w:cs="Times New Roman"/>
          <w:b/>
          <w:spacing w:val="8"/>
          <w:sz w:val="30"/>
          <w:szCs w:val="30"/>
          <w:shd w:val="clear" w:color="auto" w:fill="FFFFFF"/>
        </w:rPr>
        <w:t>各相关单位：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</w:rPr>
        <w:t>在科学技术不断更新的现代社会，土建类工程规模也在不断扩大，工程建设难度和施工风险也在不断增加。从管理实际来说，建筑工程造价就有大额性、复杂性、广泛性等特点，增加了工程造价管控的难度。对于建筑企业来说，若想实现效益目标，必须要不断强化工程造价管理。目前施工单位的主要任务是逐步降低施工难度，并严格控制工程风险，在此基础上进行相应的造价控制工作。施工单位将每个阶段的建设成本控制在合理范围内，工程总成本相应减少，工程效益会明显增加。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</w:rPr>
        <w:t>建设工程施工现场造价管控一直是承发包双方博弈的焦点，施工现场如何控价？承发包双方如何在造价层面予以风险防范？避免不必要的损失！以及产生纠纷后如何有效处理？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</w:rPr>
        <w:t>鉴于此，</w:t>
      </w: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eastAsia="zh-CN"/>
        </w:rPr>
        <w:t>北京中建政研信息咨询</w:t>
      </w: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</w:rPr>
        <w:t>中心决定</w:t>
      </w: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eastAsia="zh-CN"/>
        </w:rPr>
        <w:t>于</w:t>
      </w: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7月15日-17日在威海市</w:t>
      </w: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</w:rPr>
        <w:t>举办</w:t>
      </w:r>
      <w:r>
        <w:rPr>
          <w:rFonts w:hint="eastAsia" w:ascii="仿宋_GB2312" w:hAnsi="仿宋_GB2312" w:eastAsia="仿宋_GB2312" w:cs="仿宋_GB2312"/>
          <w:b/>
          <w:bCs w:val="0"/>
          <w:color w:val="000000"/>
          <w:sz w:val="30"/>
          <w:szCs w:val="30"/>
        </w:rPr>
        <w:t>“建设工程施工现场如何控价”培训班</w:t>
      </w: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</w:rPr>
        <w:t>。现将有关事项通知如下：</w:t>
      </w:r>
    </w:p>
    <w:p>
      <w:pPr>
        <w:spacing w:line="420" w:lineRule="exact"/>
        <w:outlineLvl w:val="0"/>
        <w:rPr>
          <w:rFonts w:ascii="仿宋_GB2312" w:hAnsi="宋体" w:eastAsia="仿宋_GB2312" w:cs="宋体"/>
          <w:b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30"/>
          <w:szCs w:val="30"/>
        </w:rPr>
        <w:t>一、培训内容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bookmarkStart w:id="0" w:name="_Hlk38304917"/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1.变更引起的费用超额调整合同价款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2.条件不成熟，材料代替问题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3.工程量变更包干措施项目费调整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4.临设的布局、塔吊台数、挖土方式、钢筋搭接方式造价问题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5.人工浮动工资、议价项目、材料价格造价问题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6.设计变更导致综合单价重新确定问题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7.倒运、人员和机具的调迁等损失造价问题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8.工作面过于狭小、作业超过一定高度造价问题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9.调减或取消项目造价问题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10.工程变更、工期和价款调整造价问题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11.工期被拖太久造价问题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12.合同无效调整固定价款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13.结算发票不规范造价问题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14.临时用地、材料造价问题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15.恶劣天气工期顺延造价问题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16.通道、涵洞造价问题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17.项目前景不好工期无限延长造价问题</w:t>
      </w:r>
    </w:p>
    <w:bookmarkEnd w:id="0"/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18.建设工程久拖不结问题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19.可研估算立项与结算超限额问题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20.甲供材造价合同取费基数问题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21.无效施工合同中“企业管理费”、“利润”、“规费”问题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22.分包未签施工合同结算问题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23.情势变更、显失公平、重大误解、无限风险问题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24.工期索赔、费用索赔与利润索赔问题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25.实际施工人索要工程款发票问题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26.已竣工项目，不验收、不结算问题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27.先施工后签合同造价问题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28.信息价计算主材价格造价问题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29.隐蔽工程造价问题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30.与现场不符无法施工造价问题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31.原设计标高处无安装位置</w:t>
      </w:r>
    </w:p>
    <w:p>
      <w:pPr>
        <w:widowControl/>
        <w:tabs>
          <w:tab w:val="center" w:pos="4465"/>
        </w:tabs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32.原设计未预料到的具体情况</w:t>
      </w: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ab/>
      </w:r>
    </w:p>
    <w:p>
      <w:pPr>
        <w:widowControl/>
        <w:tabs>
          <w:tab w:val="center" w:pos="4465"/>
        </w:tabs>
        <w:spacing w:line="420" w:lineRule="exact"/>
        <w:ind w:right="-191" w:rightChars="-91" w:firstLine="600" w:firstLineChars="200"/>
        <w:rPr>
          <w:rFonts w:hint="default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33.暂估价高报造价问题</w:t>
      </w:r>
    </w:p>
    <w:p>
      <w:pPr>
        <w:widowControl/>
        <w:tabs>
          <w:tab w:val="center" w:pos="4465"/>
        </w:tabs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34.招标控制价项目特征描述不完整或与工程规范要求不符</w:t>
      </w:r>
    </w:p>
    <w:p>
      <w:pPr>
        <w:widowControl/>
        <w:tabs>
          <w:tab w:val="center" w:pos="4465"/>
        </w:tabs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35.招标控制价综合单价不统一或偏离市场价问题   </w:t>
      </w:r>
    </w:p>
    <w:p>
      <w:pPr>
        <w:widowControl/>
        <w:tabs>
          <w:tab w:val="center" w:pos="4465"/>
        </w:tabs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36.招标控制价组价明细絮凝剂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37.招标清单、投标清单、招标控制价组价明细不致问题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38.护坡塌方造价问题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39.基础截桩高度超过设计预留高度造价问题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40.基坑边坡塌方严重，打木桩进行边坡加固造价问题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41.不平衡报价问题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42.材料、门窗、防水，暂估价招标问题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43.初步设计发包与结算完不成概算量扣款问题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44.措施费包干，红线外措施费调整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45.对于施工措施项目没有设计图纸，如何考虑该费用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46.二次报价问题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47.二次植筋费、高支模费问题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48.混合逾期，材料调价差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49.降效费、赶工措施费如何计算比较合理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50.清单计价模式下暂估价问题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51.清单招标、费率招标中的临时措施费问题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52.设计图纸与招标工程量清单不一致问题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53.施工过程核价问题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54.施工总承包（单价包干）项目中标了，暂未签订合同，现发现中标价格低于市场价，如何处理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55.实际施工与设计图纸不一致，结算如何调整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56.图纸与现场标高不一致，投标答疑与报价风险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57.延期期间能否调整合同约定的调差权重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58.延期期间能否增加管理费？是否增加管理费与延期时间关系？如如何增加管理费，计算标准如何？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59.有初步设计和财评审定概算，采用报下浮率并填报概算清单的方式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60.在合同里约定条款，限制太离谱的不平衡报价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61.暂列金漏传问题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62.招标工程设计图纸标明按“二次设计”、“深化设计”等字眼的，如何考虑该费用</w:t>
      </w:r>
    </w:p>
    <w:p>
      <w:pPr>
        <w:widowControl/>
        <w:spacing w:line="420" w:lineRule="exact"/>
        <w:ind w:right="-191" w:rightChars="-91" w:firstLine="600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63.招标控制价，措施费漏项</w:t>
      </w:r>
    </w:p>
    <w:p>
      <w:pPr>
        <w:spacing w:line="420" w:lineRule="exact"/>
        <w:outlineLvl w:val="0"/>
        <w:rPr>
          <w:rFonts w:ascii="仿宋_GB2312" w:hAnsi="宋体" w:eastAsia="仿宋_GB2312" w:cs="宋体"/>
          <w:b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30"/>
          <w:szCs w:val="30"/>
          <w:lang w:eastAsia="zh-CN"/>
        </w:rPr>
        <w:t>二、</w:t>
      </w:r>
      <w:r>
        <w:rPr>
          <w:rFonts w:hint="eastAsia" w:ascii="仿宋_GB2312" w:hAnsi="宋体" w:eastAsia="仿宋_GB2312" w:cs="宋体"/>
          <w:b/>
          <w:color w:val="000000"/>
          <w:kern w:val="0"/>
          <w:sz w:val="30"/>
          <w:szCs w:val="30"/>
        </w:rPr>
        <w:t>授课师资</w:t>
      </w:r>
    </w:p>
    <w:p>
      <w:pPr>
        <w:spacing w:line="440" w:lineRule="exact"/>
        <w:ind w:firstLine="602" w:firstLineChars="200"/>
        <w:rPr>
          <w:rFonts w:hint="default" w:ascii="仿宋_GB2312" w:hAnsi="仿宋" w:eastAsia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b/>
          <w:bCs/>
          <w:sz w:val="30"/>
          <w:szCs w:val="30"/>
          <w:lang w:val="en-US" w:eastAsia="zh-CN"/>
        </w:rPr>
        <w:t>刘雷:</w:t>
      </w:r>
      <w:r>
        <w:rPr>
          <w:rFonts w:hint="eastAsia" w:ascii="仿宋_GB2312" w:hAnsi="仿宋" w:eastAsia="仿宋_GB2312" w:cs="宋体"/>
          <w:kern w:val="0"/>
          <w:sz w:val="30"/>
          <w:szCs w:val="30"/>
        </w:rPr>
        <w:t>中建政研专家委员会委员，南京审计大学工程管理学院造价管理系（江苏省公共工程审计重点实验室），副教授，博士。</w:t>
      </w:r>
    </w:p>
    <w:p>
      <w:pPr>
        <w:widowControl/>
        <w:spacing w:line="420" w:lineRule="exact"/>
        <w:ind w:right="-191" w:rightChars="-91" w:firstLine="602" w:firstLineChars="200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b/>
          <w:bCs/>
          <w:sz w:val="30"/>
          <w:szCs w:val="30"/>
          <w:lang w:val="en-US" w:eastAsia="zh-CN"/>
        </w:rPr>
        <w:t>窦汝良:</w:t>
      </w:r>
      <w:r>
        <w:rPr>
          <w:rFonts w:hint="eastAsia" w:ascii="仿宋_GB2312" w:hAnsi="仿宋" w:eastAsia="仿宋_GB2312" w:cs="宋体"/>
          <w:kern w:val="0"/>
          <w:sz w:val="30"/>
          <w:szCs w:val="30"/>
          <w:lang w:val="en-US" w:eastAsia="zh-CN"/>
        </w:rPr>
        <w:t>山东政府采购评审专家、山东省建设工程评审专家、山东公共资源综合评标评审专家、山东省交通工程评审专家</w:t>
      </w:r>
      <w:r>
        <w:rPr>
          <w:rFonts w:hint="eastAsia" w:ascii="仿宋_GB2312" w:hAnsi="仿宋" w:eastAsia="仿宋_GB2312" w:cs="宋体"/>
          <w:kern w:val="0"/>
          <w:sz w:val="30"/>
          <w:szCs w:val="30"/>
        </w:rPr>
        <w:t>。</w:t>
      </w:r>
      <w:r>
        <w:rPr>
          <w:rFonts w:hint="eastAsia" w:ascii="仿宋_GB2312" w:hAnsi="仿宋" w:eastAsia="仿宋_GB2312" w:cs="宋体"/>
          <w:kern w:val="0"/>
          <w:sz w:val="30"/>
          <w:szCs w:val="30"/>
          <w:lang w:val="en-US" w:eastAsia="zh-CN"/>
        </w:rPr>
        <w:t>德州市财政评审中心特聘专家、德州经济技术开发区政府工作顾问、德州职业技术学院客座教授，德州市作家协会会员，兰台律师事务所顾问。</w:t>
      </w:r>
    </w:p>
    <w:p>
      <w:pPr>
        <w:spacing w:line="420" w:lineRule="exact"/>
        <w:outlineLvl w:val="0"/>
        <w:rPr>
          <w:rFonts w:ascii="仿宋_GB2312" w:hAnsi="宋体" w:eastAsia="仿宋_GB2312" w:cs="宋体"/>
          <w:b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30"/>
          <w:szCs w:val="30"/>
        </w:rPr>
        <w:t>三、参会对象</w:t>
      </w:r>
    </w:p>
    <w:p>
      <w:pPr>
        <w:widowControl/>
        <w:spacing w:line="420" w:lineRule="exact"/>
        <w:ind w:right="-191" w:rightChars="-91" w:firstLine="480" w:firstLineChars="200"/>
        <w:rPr>
          <w:rFonts w:hint="eastAsia" w:ascii="仿宋_GB2312" w:hAnsi="仿宋_GB2312" w:eastAsia="仿宋_GB2312" w:cs="仿宋_GB2312"/>
          <w:bCs/>
          <w:color w:val="000000"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0"/>
          <w:szCs w:val="30"/>
          <w:lang w:val="en-US" w:eastAsia="zh-CN" w:bidi="ar-SA"/>
        </w:rPr>
        <w:t xml:space="preserve"> 建设行政主管部门、工程建设企业（工程承包、建筑施工、勘察设计、房地产开发、工程项目管理、工程监理、工程咨询、招标办、公共资源交易中心、工程交易中心、投资项目评审中心；工程造价、招标代理等）总经理、总造价顾问、法务总监、总工程师、项目管理、市场开发、商务谈判、招标投标、合同管理、成本管理等中高级管理人员以及业务相关的直线经理人等。</w:t>
      </w:r>
    </w:p>
    <w:p>
      <w:pPr>
        <w:numPr>
          <w:ilvl w:val="0"/>
          <w:numId w:val="1"/>
        </w:numPr>
        <w:spacing w:line="420" w:lineRule="exact"/>
        <w:outlineLvl w:val="0"/>
        <w:rPr>
          <w:rFonts w:hint="eastAsia" w:ascii="仿宋_GB2312" w:hAnsi="宋体" w:eastAsia="仿宋_GB2312" w:cs="宋体"/>
          <w:b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30"/>
          <w:szCs w:val="30"/>
        </w:rPr>
        <w:t>培训时间</w:t>
      </w:r>
    </w:p>
    <w:p>
      <w:pPr>
        <w:widowControl/>
        <w:spacing w:line="420" w:lineRule="exact"/>
        <w:ind w:right="-191" w:rightChars="-91" w:firstLine="600" w:firstLineChars="200"/>
        <w:rPr>
          <w:rFonts w:hint="default" w:ascii="仿宋_GB2312" w:hAnsi="仿宋_GB2312" w:eastAsia="仿宋_GB2312" w:cs="仿宋_GB2312"/>
          <w:bCs/>
          <w:color w:val="000000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0"/>
          <w:szCs w:val="30"/>
          <w:lang w:val="en-US" w:eastAsia="zh-CN" w:bidi="ar-SA"/>
        </w:rPr>
        <w:t>2020年7月15日-17日（15日全天报到）  地点：威海市</w:t>
      </w:r>
    </w:p>
    <w:p>
      <w:pPr>
        <w:spacing w:line="420" w:lineRule="exact"/>
        <w:outlineLvl w:val="0"/>
        <w:rPr>
          <w:rFonts w:ascii="仿宋_GB2312" w:hAnsi="宋体" w:eastAsia="仿宋_GB2312" w:cs="宋体"/>
          <w:b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30"/>
          <w:szCs w:val="30"/>
        </w:rPr>
        <w:t>五、培训费用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91" w:rightChars="-91" w:firstLine="646"/>
        <w:textAlignment w:val="auto"/>
        <w:rPr>
          <w:rFonts w:ascii="仿宋_GB2312" w:hAnsi="仿宋" w:eastAsia="仿宋_GB2312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仿宋_GB2312" w:hAnsi="仿宋" w:eastAsia="仿宋_GB2312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收费标准：</w:t>
      </w:r>
      <w:r>
        <w:rPr>
          <w:rFonts w:ascii="仿宋_GB2312" w:hAnsi="仿宋" w:eastAsia="仿宋_GB2312" w:cs="仿宋"/>
          <w:b/>
          <w:bCs/>
          <w:color w:val="000000" w:themeColor="text1"/>
          <w:kern w:val="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" w:eastAsia="仿宋_GB2312" w:cs="仿宋"/>
          <w:b/>
          <w:bCs/>
          <w:color w:val="000000" w:themeColor="text1"/>
          <w:kern w:val="0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80</w:t>
      </w:r>
      <w:r>
        <w:rPr>
          <w:rFonts w:ascii="仿宋_GB2312" w:hAnsi="仿宋" w:eastAsia="仿宋_GB2312" w:cs="仿宋"/>
          <w:b/>
          <w:bCs/>
          <w:color w:val="000000" w:themeColor="text1"/>
          <w:kern w:val="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 w:cs="仿宋"/>
          <w:b/>
          <w:bCs/>
          <w:color w:val="000000" w:themeColor="text1"/>
          <w:kern w:val="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元</w:t>
      </w:r>
      <w:r>
        <w:rPr>
          <w:rFonts w:ascii="仿宋_GB2312" w:hAnsi="仿宋" w:eastAsia="仿宋_GB2312" w:cs="仿宋"/>
          <w:b/>
          <w:bCs/>
          <w:color w:val="000000" w:themeColor="text1"/>
          <w:kern w:val="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仿宋_GB2312" w:hAnsi="仿宋" w:eastAsia="仿宋_GB2312" w:cs="仿宋"/>
          <w:b/>
          <w:bCs/>
          <w:color w:val="000000" w:themeColor="text1"/>
          <w:kern w:val="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含会务费、资料费、师资费、税费），食宿统一安排，费用自理。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91" w:rightChars="-91" w:firstLine="646"/>
        <w:textAlignment w:val="auto"/>
        <w:rPr>
          <w:rFonts w:ascii="仿宋_GB2312" w:hAnsi="仿宋" w:eastAsia="仿宋_GB2312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仿宋_GB2312" w:hAnsi="仿宋" w:eastAsia="仿宋_GB2312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缴费方式：银行汇款或转账，会议现场不安排收费。</w:t>
      </w:r>
    </w:p>
    <w:p>
      <w:pPr>
        <w:widowControl/>
        <w:spacing w:line="420" w:lineRule="exact"/>
        <w:ind w:left="596" w:leftChars="284" w:right="-191" w:rightChars="-91" w:firstLine="0" w:firstLineChars="0"/>
        <w:outlineLvl w:val="0"/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:lang w:val="zh-CN"/>
          <w14:textFill>
            <w14:solidFill>
              <w14:schemeClr w14:val="tx1"/>
            </w14:solidFill>
          </w14:textFill>
        </w:rPr>
        <w:t>账户名称：北京中建政研咨询中心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:lang w:val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:lang w:val="zh-CN"/>
          <w14:textFill>
            <w14:solidFill>
              <w14:schemeClr w14:val="tx1"/>
            </w14:solidFill>
          </w14:textFill>
        </w:rPr>
        <w:t>开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:lang w:val="zh-CN"/>
          <w14:textFill>
            <w14:solidFill>
              <w14:schemeClr w14:val="tx1"/>
            </w14:solidFill>
          </w14:textFill>
        </w:rPr>
        <w:t>户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:lang w:val="zh-CN"/>
          <w14:textFill>
            <w14:solidFill>
              <w14:schemeClr w14:val="tx1"/>
            </w14:solidFill>
          </w14:textFill>
        </w:rPr>
        <w:t>行：中国建设银行股份有限公司北京石景山支行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:lang w:val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:lang w:val="zh-CN"/>
          <w14:textFill>
            <w14:solidFill>
              <w14:schemeClr w14:val="tx1"/>
            </w14:solidFill>
          </w14:textFill>
        </w:rPr>
        <w:t>帐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:lang w:val="zh-CN"/>
          <w14:textFill>
            <w14:solidFill>
              <w14:schemeClr w14:val="tx1"/>
            </w14:solidFill>
          </w14:textFill>
        </w:rPr>
        <w:t>号：11050164360000001177</w:t>
      </w:r>
    </w:p>
    <w:p>
      <w:pPr>
        <w:spacing w:line="420" w:lineRule="exact"/>
        <w:outlineLvl w:val="0"/>
        <w:rPr>
          <w:rFonts w:ascii="仿宋_GB2312" w:hAnsi="宋体" w:eastAsia="仿宋_GB2312" w:cs="宋体"/>
          <w:b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30"/>
          <w:szCs w:val="30"/>
        </w:rPr>
        <w:t>六、报名联系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91" w:rightChars="-91" w:firstLine="646"/>
        <w:textAlignment w:val="auto"/>
        <w:rPr>
          <w:rFonts w:ascii="仿宋_GB2312" w:hAnsi="仿宋" w:eastAsia="仿宋_GB2312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:lang w:val="zh-CN"/>
          <w14:textFill>
            <w14:solidFill>
              <w14:schemeClr w14:val="tx1"/>
            </w14:solidFill>
          </w14:textFill>
        </w:rPr>
        <w:t>联系人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王后胜</w:t>
      </w:r>
      <w:r>
        <w:rPr>
          <w:rFonts w:ascii="仿宋_GB2312" w:hAnsi="仿宋" w:eastAsia="仿宋_GB2312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</w:p>
    <w:p>
      <w:pPr>
        <w:widowControl/>
        <w:spacing w:line="420" w:lineRule="exact"/>
        <w:ind w:right="-191" w:rightChars="-91" w:firstLine="646"/>
        <w:outlineLvl w:val="0"/>
        <w:rPr>
          <w:rFonts w:hint="default" w:ascii="仿宋_GB2312" w:hAnsi="仿宋" w:eastAsia="仿宋_GB2312" w:cs="仿宋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电  话：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13146695006（同微信）</w:t>
      </w:r>
    </w:p>
    <w:p>
      <w:pPr>
        <w:widowControl/>
        <w:spacing w:line="420" w:lineRule="exact"/>
        <w:ind w:right="-191" w:rightChars="-91" w:firstLine="646"/>
        <w:outlineLvl w:val="0"/>
        <w:rPr>
          <w:rFonts w:hint="default" w:ascii="仿宋_GB2312" w:hAnsi="仿宋" w:eastAsia="仿宋_GB2312" w:cs="仿宋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邮  箱：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jsbzyzx@126.com</w:t>
      </w:r>
    </w:p>
    <w:p>
      <w:pPr>
        <w:widowControl/>
        <w:spacing w:line="420" w:lineRule="exact"/>
        <w:ind w:right="-191" w:rightChars="-91" w:firstLine="646"/>
        <w:outlineLvl w:val="0"/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171450</wp:posOffset>
            </wp:positionV>
            <wp:extent cx="2343150" cy="1724025"/>
            <wp:effectExtent l="0" t="0" r="0" b="9525"/>
            <wp:wrapSquare wrapText="bothSides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附报名表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</w:t>
      </w:r>
    </w:p>
    <w:p>
      <w:pPr>
        <w:widowControl/>
        <w:spacing w:line="400" w:lineRule="exact"/>
        <w:ind w:right="-191" w:rightChars="-91"/>
        <w:rPr>
          <w:rFonts w:ascii="仿宋_GB2312" w:hAnsi="仿宋" w:eastAsia="仿宋_GB2312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spacing w:line="400" w:lineRule="exact"/>
        <w:ind w:right="-191" w:rightChars="-91"/>
        <w:rPr>
          <w:rFonts w:hint="default" w:ascii="仿宋_GB2312" w:hAnsi="仿宋" w:eastAsia="仿宋_GB2312" w:cs="仿宋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</w:t>
      </w:r>
    </w:p>
    <w:p>
      <w:pPr>
        <w:widowControl/>
        <w:jc w:val="left"/>
        <w:rPr>
          <w:rFonts w:ascii="方正小标宋简体" w:hAnsi="Calibri" w:eastAsia="方正小标宋简体" w:cs="宋体"/>
          <w:bCs/>
          <w:spacing w:val="-11"/>
          <w:sz w:val="32"/>
          <w:szCs w:val="32"/>
        </w:rPr>
      </w:pPr>
    </w:p>
    <w:p>
      <w:pPr>
        <w:widowControl/>
        <w:jc w:val="left"/>
        <w:rPr>
          <w:rFonts w:ascii="方正小标宋简体" w:hAnsi="Calibri" w:eastAsia="方正小标宋简体" w:cs="宋体"/>
          <w:bCs/>
          <w:spacing w:val="-11"/>
          <w:sz w:val="32"/>
          <w:szCs w:val="32"/>
        </w:rPr>
      </w:pPr>
    </w:p>
    <w:p>
      <w:pPr>
        <w:widowControl/>
        <w:jc w:val="left"/>
        <w:rPr>
          <w:rFonts w:ascii="方正小标宋简体" w:hAnsi="Calibri" w:eastAsia="方正小标宋简体" w:cs="宋体"/>
          <w:bCs/>
          <w:spacing w:val="-11"/>
          <w:sz w:val="32"/>
          <w:szCs w:val="32"/>
        </w:rPr>
      </w:pPr>
    </w:p>
    <w:p>
      <w:pPr>
        <w:widowControl/>
        <w:jc w:val="left"/>
        <w:rPr>
          <w:rFonts w:ascii="方正小标宋简体" w:hAnsi="Calibri" w:eastAsia="方正小标宋简体" w:cs="宋体"/>
          <w:bCs/>
          <w:spacing w:val="-11"/>
          <w:sz w:val="32"/>
          <w:szCs w:val="32"/>
        </w:rPr>
      </w:pPr>
    </w:p>
    <w:p>
      <w:pPr>
        <w:widowControl/>
        <w:jc w:val="left"/>
        <w:rPr>
          <w:rFonts w:ascii="方正小标宋简体" w:hAnsi="Calibri" w:eastAsia="方正小标宋简体" w:cs="宋体"/>
          <w:bCs/>
          <w:spacing w:val="-11"/>
          <w:sz w:val="32"/>
          <w:szCs w:val="32"/>
        </w:rPr>
      </w:pPr>
    </w:p>
    <w:p>
      <w:pPr>
        <w:widowControl/>
        <w:jc w:val="left"/>
        <w:rPr>
          <w:rFonts w:ascii="方正小标宋简体" w:hAnsi="Calibri" w:eastAsia="方正小标宋简体" w:cs="宋体"/>
          <w:bCs/>
          <w:spacing w:val="-11"/>
          <w:sz w:val="32"/>
          <w:szCs w:val="32"/>
        </w:rPr>
      </w:pPr>
    </w:p>
    <w:p>
      <w:pPr>
        <w:widowControl/>
        <w:jc w:val="left"/>
        <w:rPr>
          <w:rFonts w:ascii="方正小标宋简体" w:hAnsi="Calibri" w:eastAsia="方正小标宋简体" w:cs="宋体"/>
          <w:bCs/>
          <w:spacing w:val="-11"/>
          <w:sz w:val="32"/>
          <w:szCs w:val="32"/>
        </w:rPr>
      </w:pPr>
    </w:p>
    <w:p>
      <w:pPr>
        <w:widowControl/>
        <w:jc w:val="left"/>
        <w:rPr>
          <w:rFonts w:ascii="方正小标宋简体" w:hAnsi="Calibri" w:eastAsia="方正小标宋简体" w:cs="宋体"/>
          <w:bCs/>
          <w:spacing w:val="-11"/>
          <w:sz w:val="32"/>
          <w:szCs w:val="32"/>
        </w:rPr>
      </w:pPr>
      <w:r>
        <w:rPr>
          <w:rFonts w:ascii="方正小标宋简体" w:hAnsi="Calibri" w:eastAsia="方正小标宋简体" w:cs="宋体"/>
          <w:bCs/>
          <w:spacing w:val="-11"/>
          <w:sz w:val="32"/>
          <w:szCs w:val="32"/>
        </w:rPr>
        <w:t>附件</w:t>
      </w:r>
      <w:r>
        <w:rPr>
          <w:rFonts w:hint="eastAsia" w:ascii="方正小标宋简体" w:hAnsi="Calibri" w:eastAsia="方正小标宋简体" w:cs="宋体"/>
          <w:bCs/>
          <w:spacing w:val="-11"/>
          <w:sz w:val="32"/>
          <w:szCs w:val="32"/>
        </w:rPr>
        <w:t>：</w:t>
      </w:r>
    </w:p>
    <w:p>
      <w:pPr>
        <w:spacing w:after="156" w:afterLines="50" w:line="460" w:lineRule="exact"/>
        <w:jc w:val="center"/>
        <w:rPr>
          <w:rFonts w:ascii="方正小标宋简体" w:hAnsi="方正小标宋简体" w:eastAsia="方正小标宋简体" w:cs="方正小标宋简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建设工程施工现场如何控价</w:t>
      </w:r>
      <w:r>
        <w:rPr>
          <w:rFonts w:hint="eastAsia" w:ascii="方正小标宋简体" w:hAnsi="方正小标宋简体" w:eastAsia="方正小标宋简体" w:cs="方正小标宋简体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培训班</w:t>
      </w:r>
      <w:r>
        <w:rPr>
          <w:rFonts w:hint="eastAsia" w:ascii="方正小标宋简体" w:hAnsi="方正小标宋简体" w:eastAsia="方正小标宋简体" w:cs="方正小标宋简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报名回执表</w:t>
      </w:r>
    </w:p>
    <w:tbl>
      <w:tblPr>
        <w:tblStyle w:val="3"/>
        <w:tblpPr w:leftFromText="180" w:rightFromText="180" w:vertAnchor="text" w:horzAnchor="page" w:tblpX="1212" w:tblpY="387"/>
        <w:tblOverlap w:val="never"/>
        <w:tblW w:w="98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1155"/>
        <w:gridCol w:w="11"/>
        <w:gridCol w:w="1067"/>
        <w:gridCol w:w="11"/>
        <w:gridCol w:w="888"/>
        <w:gridCol w:w="11"/>
        <w:gridCol w:w="942"/>
        <w:gridCol w:w="1065"/>
        <w:gridCol w:w="53"/>
        <w:gridCol w:w="504"/>
        <w:gridCol w:w="162"/>
        <w:gridCol w:w="1258"/>
        <w:gridCol w:w="1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单位名称</w:t>
            </w:r>
          </w:p>
        </w:tc>
        <w:tc>
          <w:tcPr>
            <w:tcW w:w="586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行业类别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详细地址</w:t>
            </w:r>
          </w:p>
        </w:tc>
        <w:tc>
          <w:tcPr>
            <w:tcW w:w="586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0" w:firstLineChars="500"/>
              <w:rPr>
                <w:rFonts w:eastAsia="仿宋_GB2312"/>
                <w:bCs/>
                <w:sz w:val="24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邮编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联系人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部门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bCs/>
                <w:sz w:val="24"/>
              </w:rPr>
            </w:pPr>
          </w:p>
        </w:tc>
        <w:tc>
          <w:tcPr>
            <w:tcW w:w="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职务</w:t>
            </w:r>
          </w:p>
        </w:tc>
        <w:tc>
          <w:tcPr>
            <w:tcW w:w="17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手机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电话</w:t>
            </w:r>
            <w:r>
              <w:rPr>
                <w:rFonts w:eastAsia="仿宋_GB2312"/>
                <w:bCs/>
                <w:sz w:val="24"/>
              </w:rPr>
              <w:t>/</w:t>
            </w:r>
            <w:r>
              <w:rPr>
                <w:rFonts w:hint="eastAsia" w:eastAsia="仿宋_GB2312"/>
                <w:bCs/>
                <w:sz w:val="24"/>
              </w:rPr>
              <w:t>区号</w:t>
            </w:r>
          </w:p>
        </w:tc>
        <w:tc>
          <w:tcPr>
            <w:tcW w:w="3143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9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传真</w:t>
            </w:r>
          </w:p>
        </w:tc>
        <w:tc>
          <w:tcPr>
            <w:tcW w:w="178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E-mail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姓名</w:t>
            </w:r>
          </w:p>
        </w:tc>
        <w:tc>
          <w:tcPr>
            <w:tcW w:w="1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性别</w:t>
            </w: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部门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职务</w:t>
            </w:r>
          </w:p>
        </w:tc>
        <w:tc>
          <w:tcPr>
            <w:tcW w:w="2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电话</w:t>
            </w:r>
          </w:p>
        </w:tc>
        <w:tc>
          <w:tcPr>
            <w:tcW w:w="19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手机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9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9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9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9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发票要求</w:t>
            </w:r>
          </w:p>
        </w:tc>
        <w:tc>
          <w:tcPr>
            <w:tcW w:w="836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 xml:space="preserve">□增值税普通发票        □增值税专用发票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9" w:hRule="atLeast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 xml:space="preserve">发票信息 </w:t>
            </w:r>
            <w:r>
              <w:rPr>
                <w:rFonts w:hint="eastAsia" w:ascii="仿宋_GB2312" w:hAnsi="宋体" w:eastAsia="仿宋_GB2312"/>
                <w:bCs/>
                <w:szCs w:val="21"/>
              </w:rPr>
              <w:t>（专票请填写1-5全部信息；普票填写1-2信息）</w:t>
            </w:r>
          </w:p>
        </w:tc>
        <w:tc>
          <w:tcPr>
            <w:tcW w:w="836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1.开票名称：</w:t>
            </w:r>
          </w:p>
          <w:p>
            <w:pPr>
              <w:spacing w:line="360" w:lineRule="exact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2.纳税人识别号：</w:t>
            </w:r>
          </w:p>
          <w:p>
            <w:pPr>
              <w:spacing w:line="360" w:lineRule="exact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3.地址、电话：</w:t>
            </w:r>
          </w:p>
          <w:p>
            <w:pPr>
              <w:spacing w:line="360" w:lineRule="exact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4.开户行及账号：</w:t>
            </w:r>
          </w:p>
          <w:p>
            <w:pPr>
              <w:spacing w:line="360" w:lineRule="exact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 xml:space="preserve">5.开票代码（六位）：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right="-107" w:rightChars="-51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住宿安排</w:t>
            </w:r>
          </w:p>
        </w:tc>
        <w:tc>
          <w:tcPr>
            <w:tcW w:w="836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exact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单住□  标间</w:t>
            </w:r>
            <w:r>
              <w:rPr>
                <w:rFonts w:hint="eastAsia" w:ascii="仿宋_GB2312" w:eastAsia="仿宋_GB2312"/>
                <w:bCs/>
                <w:sz w:val="24"/>
              </w:rPr>
              <w:t xml:space="preserve">□  </w:t>
            </w:r>
            <w:r>
              <w:rPr>
                <w:rFonts w:hint="eastAsia" w:eastAsia="仿宋_GB2312"/>
                <w:bCs/>
                <w:sz w:val="24"/>
              </w:rPr>
              <w:t>拼住□  订房数量</w:t>
            </w:r>
            <w:r>
              <w:rPr>
                <w:rFonts w:hint="eastAsia" w:eastAsia="仿宋_GB2312"/>
                <w:bCs/>
                <w:sz w:val="24"/>
                <w:u w:val="single"/>
              </w:rPr>
              <w:t xml:space="preserve">  </w:t>
            </w:r>
            <w:r>
              <w:rPr>
                <w:rFonts w:hint="eastAsia" w:eastAsia="仿宋_GB2312"/>
                <w:bCs/>
                <w:sz w:val="24"/>
              </w:rPr>
              <w:t>间；自行安排□；其他说明：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费用总额</w:t>
            </w:r>
          </w:p>
        </w:tc>
        <w:tc>
          <w:tcPr>
            <w:tcW w:w="51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万  仟  佰  拾  元整</w:t>
            </w:r>
          </w:p>
        </w:tc>
        <w:tc>
          <w:tcPr>
            <w:tcW w:w="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小写</w:t>
            </w:r>
          </w:p>
        </w:tc>
        <w:tc>
          <w:tcPr>
            <w:tcW w:w="2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￥：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付款方式</w:t>
            </w:r>
          </w:p>
        </w:tc>
        <w:tc>
          <w:tcPr>
            <w:tcW w:w="836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□银行转账     □刷卡        □现金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0" w:hRule="atLeast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指定收款</w:t>
            </w:r>
          </w:p>
          <w:p>
            <w:pPr>
              <w:spacing w:line="36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账户</w:t>
            </w:r>
          </w:p>
        </w:tc>
        <w:tc>
          <w:tcPr>
            <w:tcW w:w="836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 w:eastAsia="仿宋_GB2312" w:cs="宋体"/>
                <w:color w:val="000000"/>
                <w:sz w:val="20"/>
              </w:rPr>
            </w:pPr>
            <w:r>
              <w:rPr>
                <w:rFonts w:hint="eastAsia" w:ascii="宋体" w:hAnsi="宋体" w:eastAsia="仿宋_GB2312" w:cs="宋体"/>
                <w:color w:val="000000"/>
                <w:sz w:val="20"/>
                <w:lang w:val="zh-CN"/>
              </w:rPr>
              <w:t>账户名称：北京中建政研咨询中心</w:t>
            </w:r>
            <w:r>
              <w:rPr>
                <w:rFonts w:hint="eastAsia" w:ascii="宋体" w:hAnsi="宋体" w:eastAsia="仿宋_GB2312" w:cs="宋体"/>
                <w:color w:val="000000"/>
                <w:sz w:val="20"/>
                <w:lang w:val="zh-CN"/>
              </w:rPr>
              <w:br w:type="textWrapping"/>
            </w:r>
            <w:r>
              <w:rPr>
                <w:rFonts w:hint="eastAsia" w:ascii="宋体" w:hAnsi="宋体" w:eastAsia="仿宋_GB2312" w:cs="宋体"/>
                <w:color w:val="000000"/>
                <w:sz w:val="20"/>
                <w:lang w:val="zh-CN"/>
              </w:rPr>
              <w:t>开</w:t>
            </w:r>
            <w:r>
              <w:rPr>
                <w:rFonts w:hint="eastAsia" w:ascii="宋体" w:hAnsi="宋体" w:eastAsia="仿宋_GB2312" w:cs="宋体"/>
                <w:color w:val="000000"/>
                <w:sz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仿宋_GB2312" w:cs="宋体"/>
                <w:color w:val="000000"/>
                <w:sz w:val="20"/>
                <w:lang w:val="zh-CN"/>
              </w:rPr>
              <w:t>户</w:t>
            </w:r>
            <w:r>
              <w:rPr>
                <w:rFonts w:hint="eastAsia" w:ascii="宋体" w:hAnsi="宋体" w:eastAsia="仿宋_GB2312" w:cs="宋体"/>
                <w:color w:val="000000"/>
                <w:sz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仿宋_GB2312" w:cs="宋体"/>
                <w:color w:val="000000"/>
                <w:sz w:val="20"/>
                <w:lang w:val="zh-CN"/>
              </w:rPr>
              <w:t>行：中国建设银行股份有限公司北京石景山支行</w:t>
            </w:r>
            <w:r>
              <w:rPr>
                <w:rFonts w:hint="eastAsia" w:ascii="宋体" w:hAnsi="宋体" w:eastAsia="仿宋_GB2312" w:cs="宋体"/>
                <w:color w:val="000000"/>
                <w:sz w:val="20"/>
                <w:lang w:val="zh-CN"/>
              </w:rPr>
              <w:br w:type="textWrapping"/>
            </w:r>
            <w:r>
              <w:rPr>
                <w:rFonts w:hint="eastAsia" w:ascii="宋体" w:hAnsi="宋体" w:eastAsia="仿宋_GB2312" w:cs="宋体"/>
                <w:color w:val="000000"/>
                <w:sz w:val="20"/>
                <w:lang w:val="zh-CN"/>
              </w:rPr>
              <w:t>帐</w:t>
            </w:r>
            <w:r>
              <w:rPr>
                <w:rFonts w:hint="eastAsia" w:ascii="宋体" w:hAnsi="宋体" w:eastAsia="仿宋_GB2312" w:cs="宋体"/>
                <w:color w:val="000000"/>
                <w:sz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仿宋_GB2312" w:cs="宋体"/>
                <w:color w:val="000000"/>
                <w:sz w:val="20"/>
                <w:lang w:val="zh-CN"/>
              </w:rPr>
              <w:t>号：11050164360000001177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9" w:hRule="atLeast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参会方式</w:t>
            </w:r>
          </w:p>
        </w:tc>
        <w:tc>
          <w:tcPr>
            <w:tcW w:w="570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bCs/>
                <w:sz w:val="24"/>
                <w:szCs w:val="21"/>
              </w:rPr>
            </w:pPr>
            <w:r>
              <w:rPr>
                <w:rFonts w:ascii="仿宋_GB2312" w:hAnsi="宋体" w:eastAsia="仿宋_GB2312"/>
                <w:bCs/>
                <w:sz w:val="24"/>
              </w:rPr>
              <w:t>请参会单位将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报名</w:t>
            </w:r>
            <w:r>
              <w:rPr>
                <w:rFonts w:ascii="仿宋_GB2312" w:hAnsi="宋体" w:eastAsia="仿宋_GB2312"/>
                <w:bCs/>
                <w:sz w:val="24"/>
              </w:rPr>
              <w:t>表传至会务组，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在报名</w:t>
            </w:r>
            <w:r>
              <w:rPr>
                <w:rFonts w:ascii="仿宋_GB2312" w:hAnsi="宋体" w:eastAsia="仿宋_GB2312"/>
                <w:bCs/>
                <w:sz w:val="24"/>
              </w:rPr>
              <w:t>3日内汇款，并将汇款信息传至会务组，确认到款后即发《报到通知》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(</w:t>
            </w:r>
            <w:r>
              <w:rPr>
                <w:rFonts w:ascii="仿宋_GB2312" w:hAnsi="宋体" w:eastAsia="仿宋_GB2312"/>
                <w:bCs/>
                <w:sz w:val="24"/>
              </w:rPr>
              <w:t>将详细注明报到时间、报到地点、食宿等具体安排事项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)。</w:t>
            </w:r>
            <w:r>
              <w:rPr>
                <w:rFonts w:ascii="仿宋_GB2312" w:hAnsi="宋体" w:eastAsia="仿宋_GB2312"/>
                <w:bCs/>
                <w:sz w:val="24"/>
              </w:rPr>
              <w:t>各参会代表凭《报到通知》入场。</w:t>
            </w:r>
          </w:p>
        </w:tc>
        <w:tc>
          <w:tcPr>
            <w:tcW w:w="26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exact"/>
              <w:rPr>
                <w:rFonts w:eastAsia="仿宋_GB2312"/>
                <w:bCs/>
                <w:sz w:val="24"/>
              </w:rPr>
            </w:pPr>
          </w:p>
          <w:p>
            <w:pPr>
              <w:spacing w:line="340" w:lineRule="exact"/>
              <w:rPr>
                <w:rFonts w:eastAsia="仿宋_GB2312"/>
                <w:bCs/>
                <w:sz w:val="24"/>
              </w:rPr>
            </w:pPr>
          </w:p>
          <w:p>
            <w:pPr>
              <w:spacing w:line="340" w:lineRule="exact"/>
              <w:rPr>
                <w:rFonts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1080" w:firstLineChars="450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单位印章</w:t>
            </w:r>
          </w:p>
          <w:p>
            <w:pPr>
              <w:spacing w:line="340" w:lineRule="exact"/>
              <w:ind w:firstLine="1080" w:firstLineChars="450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982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hint="default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Cs/>
                <w:sz w:val="24"/>
              </w:rPr>
              <w:t>联系人：</w:t>
            </w:r>
            <w:r>
              <w:rPr>
                <w:rFonts w:hint="eastAsia" w:eastAsia="仿宋_GB2312"/>
                <w:bCs/>
                <w:sz w:val="24"/>
                <w:lang w:eastAsia="zh-CN"/>
              </w:rPr>
              <w:t>王后胜</w:t>
            </w:r>
            <w:r>
              <w:rPr>
                <w:rFonts w:hint="eastAsia" w:eastAsia="仿宋_GB2312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bCs/>
                <w:sz w:val="24"/>
              </w:rPr>
              <w:t xml:space="preserve">         </w:t>
            </w:r>
            <w:r>
              <w:rPr>
                <w:rFonts w:hint="eastAsia" w:eastAsia="仿宋_GB2312"/>
                <w:bCs/>
                <w:sz w:val="24"/>
                <w:lang w:eastAsia="zh-CN"/>
              </w:rPr>
              <w:t>手机</w:t>
            </w:r>
            <w:r>
              <w:rPr>
                <w:rFonts w:hint="eastAsia" w:eastAsia="仿宋_GB2312"/>
                <w:bCs/>
                <w:sz w:val="24"/>
              </w:rPr>
              <w:t>：</w:t>
            </w:r>
            <w:r>
              <w:rPr>
                <w:rFonts w:hint="eastAsia" w:eastAsia="仿宋_GB2312"/>
                <w:bCs/>
                <w:sz w:val="24"/>
                <w:lang w:val="en-US" w:eastAsia="zh-CN"/>
              </w:rPr>
              <w:t>13146695006（同微信）</w:t>
            </w:r>
          </w:p>
        </w:tc>
      </w:tr>
    </w:tbl>
    <w:p>
      <w:pPr>
        <w:spacing w:line="400" w:lineRule="exact"/>
        <w:rPr>
          <w:rFonts w:ascii="仿宋_GB2312" w:hAnsi="Times New Roman" w:eastAsia="仿宋_GB2312" w:cs="Times New Roman"/>
          <w:sz w:val="24"/>
          <w:szCs w:val="28"/>
        </w:rPr>
      </w:pPr>
      <w:r>
        <w:rPr>
          <w:rFonts w:hint="eastAsia" w:ascii="仿宋_GB2312" w:hAnsi="Times New Roman" w:eastAsia="仿宋_GB2312" w:cs="Times New Roman"/>
          <w:sz w:val="24"/>
          <w:szCs w:val="28"/>
        </w:rPr>
        <w:t>注： 1.为保证培训质量,培训班名额有限,额满为止,请确定人员后及早报名；</w:t>
      </w:r>
    </w:p>
    <w:p>
      <w:pPr>
        <w:spacing w:line="400" w:lineRule="exact"/>
        <w:rPr>
          <w:rFonts w:ascii="仿宋_GB2312" w:hAnsi="Times New Roman" w:eastAsia="仿宋_GB2312" w:cs="Times New Roman"/>
          <w:sz w:val="24"/>
          <w:szCs w:val="28"/>
        </w:rPr>
      </w:pPr>
      <w:r>
        <w:rPr>
          <w:rFonts w:hint="eastAsia" w:ascii="仿宋_GB2312" w:hAnsi="Times New Roman" w:eastAsia="仿宋_GB2312" w:cs="Times New Roman"/>
          <w:sz w:val="24"/>
          <w:szCs w:val="28"/>
        </w:rPr>
        <w:t xml:space="preserve">     2.本次培训内容及建筑行业相关培训内容均可赴企业提供内训。</w:t>
      </w:r>
    </w:p>
    <w:p>
      <w:pPr>
        <w:spacing w:line="400" w:lineRule="exact"/>
      </w:pPr>
    </w:p>
    <w:p>
      <w:pPr>
        <w:pStyle w:val="5"/>
        <w:bidi w:val="0"/>
        <w:rPr>
          <w:rFonts w:hint="eastAsia"/>
          <w:lang w:eastAsia="zh-CN"/>
        </w:rPr>
      </w:pPr>
    </w:p>
    <w:p/>
    <w:sectPr>
      <w:footerReference r:id="rId3" w:type="default"/>
      <w:pgSz w:w="11906" w:h="16838"/>
      <w:pgMar w:top="1440" w:right="1587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400023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86B2F"/>
    <w:multiLevelType w:val="singleLevel"/>
    <w:tmpl w:val="27786B2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7E18C7"/>
    <w:rsid w:val="267E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列出段落2"/>
    <w:basedOn w:val="1"/>
    <w:unhideWhenUsed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2020-07-06T01:19:00Z</dcterms:created>
  <dc:creator>艾迪儿</dc:creator>
  <cp:lastModifiedBy>艾迪儿</cp:lastModifiedBy>
  <dcterms:modified xsi:type="dcterms:W3CDTF">2020-07-06T01:20:18Z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